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  <w:t xml:space="preserve">ANEXO I-1 - </w:t>
      </w:r>
      <w:r>
        <w:rPr>
          <w:rFonts w:eastAsia="Arial" w:cs="Arial" w:ascii="Verdana" w:hAnsi="Verdana"/>
          <w:b/>
          <w:sz w:val="20"/>
          <w:szCs w:val="20"/>
          <w:u w:val="single"/>
        </w:rPr>
        <w:t>ESTUDO TÉCNICO PRELIMINAR</w:t>
      </w:r>
    </w:p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 w:eastAsia="Arial" w:cs="Arial"/>
          <w:b/>
          <w:sz w:val="20"/>
          <w:szCs w:val="20"/>
          <w:u w:val="single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</w:r>
    </w:p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40" w:before="0" w:after="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1. INFORMAÇÕES BÁSICAS</w:t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3390" w:leader="none"/>
          <w:tab w:val="center" w:pos="5032" w:leader="none"/>
        </w:tabs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1.1. Processo Administrativo nº ______/2023. </w:t>
      </w:r>
    </w:p>
    <w:p>
      <w:pPr>
        <w:pStyle w:val="Normal"/>
        <w:widowControl/>
        <w:tabs>
          <w:tab w:val="clear" w:pos="720"/>
          <w:tab w:val="left" w:pos="3390" w:leader="none"/>
          <w:tab w:val="center" w:pos="5032" w:leader="none"/>
        </w:tabs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Times New Roman" w:ascii="Verdana" w:hAnsi="Verdana"/>
          <w:b/>
          <w:bCs/>
          <w:sz w:val="20"/>
          <w:szCs w:val="20"/>
        </w:rPr>
        <w:t xml:space="preserve">Contratação </w:t>
      </w:r>
      <w:r>
        <w:rPr>
          <w:rFonts w:eastAsia="Arial" w:cs="Times New Roman" w:ascii="Verdana" w:hAnsi="Verdana"/>
          <w:b/>
          <w:sz w:val="20"/>
          <w:szCs w:val="20"/>
        </w:rPr>
        <w:t>de empresa especializada para serviços de aferição e manutenção de tacógrafos com fornecimento de peças, se necessário, para manutenção de tacógrafos dos veículos da frota da Secretaria Municipal de Educação, para obtenção do Certificado de Verificação, válido por 2 (dois) anos.</w:t>
      </w:r>
    </w:p>
    <w:p>
      <w:pPr>
        <w:pStyle w:val="ListParagraph"/>
        <w:tabs>
          <w:tab w:val="clear" w:pos="720"/>
          <w:tab w:val="left" w:pos="3390" w:leader="none"/>
          <w:tab w:val="center" w:pos="5032" w:leader="none"/>
        </w:tabs>
        <w:spacing w:lineRule="auto" w:line="240" w:before="0" w:after="0"/>
        <w:ind w:hanging="0" w:left="390" w:right="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widowControl/>
        <w:tabs>
          <w:tab w:val="clear" w:pos="720"/>
          <w:tab w:val="left" w:pos="3390" w:leader="none"/>
          <w:tab w:val="center" w:pos="5032" w:leader="none"/>
        </w:tabs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  <w:t>Este documento consiste em Estudos Preliminares necessários para assegurar a viabilidade da contratação, mensurar os riscos, determinar uma estratégia de contratação e fornecer subsídios para a elaboração do Termo de Referência/Projeto Básico, bem como definir um plano de sustentação para a solução contratada.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2. LOCAL DE ENTREGA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2.1.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 </w:t>
      </w:r>
      <w:r>
        <w:rPr>
          <w:rFonts w:cs="Arial" w:ascii="Verdana" w:hAnsi="Verdana"/>
          <w:b w:val="false"/>
          <w:bCs w:val="false"/>
          <w:sz w:val="20"/>
          <w:szCs w:val="20"/>
        </w:rPr>
        <w:t>Os serviços serão executados na empresa autorizada.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3. CONTATO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Tel: </w:t>
      </w:r>
      <w:r>
        <w:rPr>
          <w:rFonts w:cs="Arial" w:ascii="Verdana" w:hAnsi="Verdana"/>
          <w:b w:val="false"/>
          <w:bCs w:val="false"/>
          <w:sz w:val="20"/>
          <w:szCs w:val="20"/>
        </w:rPr>
        <w:t>27 3727-1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993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Email: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transportesemedsgp@gmail.com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Responsável: 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Secretaria Municipal de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Educação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hd w:val="clear" w:color="auto" w:fill="FFFFFF"/>
        <w:spacing w:lineRule="auto" w:line="276" w:before="57" w:after="57"/>
        <w:ind w:right="0"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eastAsia="Times New Roman" w:cs="Calibri" w:ascii="Verdana" w:hAnsi="Verdana" w:cstheme="minorHAnsi"/>
          <w:b/>
          <w:bCs/>
          <w:color w:val="000000"/>
          <w:sz w:val="20"/>
          <w:szCs w:val="20"/>
          <w:lang w:eastAsia="pt-BR"/>
        </w:rPr>
        <w:t>4. PREVISÃO NO PLANO DE CONTRATAÇÕES ANUAL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 xml:space="preserve">4.1. 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 xml:space="preserve">A contratação pretendida tem consonância com o planejamento estratégico desta Instituição, uma vez que consta na sua programação orçamentária e financeira anual. 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5. DESCRIÇÃO DA NECESSIDADE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/>
          <w:bCs/>
          <w:sz w:val="20"/>
          <w:szCs w:val="20"/>
        </w:rPr>
        <w:t xml:space="preserve">5.1. </w:t>
      </w:r>
      <w:r>
        <w:rPr>
          <w:rFonts w:cs="Times New Roman" w:ascii="Verdana" w:hAnsi="Verdana"/>
          <w:b w:val="false"/>
          <w:bCs w:val="false"/>
          <w:sz w:val="20"/>
          <w:szCs w:val="20"/>
        </w:rPr>
        <w:t>O Cronotacógrafo é um instrumento de uso obrigatório pelo Código de Trânsito Brasileiro – CTB para veículos de transporte e de condução escolar, transporte de passageiros com mais de dez lugares e os de carga com peso bruto total superior a 4.536 toneladas;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/>
          <w:bCs/>
          <w:color w:val="auto"/>
          <w:kern w:val="0"/>
          <w:sz w:val="20"/>
          <w:szCs w:val="20"/>
          <w:lang w:val="pt-BR" w:eastAsia="zh-CN" w:bidi="ar-SA"/>
        </w:rPr>
        <w:t xml:space="preserve">5.2. </w:t>
      </w:r>
      <w:r>
        <w:rPr>
          <w:rFonts w:eastAsia="Times New Roman" w:cs="Times New Roman" w:ascii="Verdana" w:hAnsi="Verdana"/>
          <w:bCs/>
          <w:color w:val="auto"/>
          <w:kern w:val="0"/>
          <w:sz w:val="20"/>
          <w:szCs w:val="20"/>
          <w:lang w:val="pt-BR" w:eastAsia="zh-CN" w:bidi="ar-SA"/>
        </w:rPr>
        <w:t>O</w:t>
      </w:r>
      <w:r>
        <w:rPr>
          <w:rFonts w:ascii="Verdana" w:hAnsi="Verdana"/>
          <w:bCs/>
          <w:sz w:val="20"/>
          <w:szCs w:val="20"/>
        </w:rPr>
        <w:t xml:space="preserve"> instrumento tem o objetivo de indicar e registrar a velocidade e a distância percorrida no tempo de direção no veículo em que está instalado, permitindo determinar o tempo de direção e de parada dos condutores, e, além disso, permite a reconstituição e a elaboração de laudos técnicos em caso de acidente com produção de provas aceitas legalmente;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5.3. </w:t>
      </w:r>
      <w:r>
        <w:rPr>
          <w:rFonts w:ascii="Verdana" w:hAnsi="Verdana"/>
          <w:bCs/>
          <w:sz w:val="20"/>
          <w:szCs w:val="20"/>
        </w:rPr>
        <w:t xml:space="preserve">Há a necessidade dos veículos </w:t>
      </w:r>
      <w:r>
        <w:rPr>
          <w:rFonts w:eastAsia="Times New Roman" w:cs="Times New Roman" w:ascii="Verdana" w:hAnsi="Verdana"/>
          <w:bCs/>
          <w:color w:val="auto"/>
          <w:kern w:val="0"/>
          <w:sz w:val="20"/>
          <w:szCs w:val="20"/>
          <w:lang w:val="pt-BR" w:eastAsia="zh-CN" w:bidi="ar-SA"/>
        </w:rPr>
        <w:t>da Secretaria de Educação,</w:t>
      </w:r>
      <w:r>
        <w:rPr>
          <w:rFonts w:ascii="Verdana" w:hAnsi="Verdana"/>
          <w:bCs/>
          <w:sz w:val="20"/>
          <w:szCs w:val="20"/>
        </w:rPr>
        <w:t xml:space="preserve"> desta Municipalidade, possuir o Certificado de Verificação do Cronotacógrafo que é feito junto a empresas credenciadas ao INMETRO, </w:t>
      </w:r>
      <w:r>
        <w:rPr>
          <w:rFonts w:ascii="Verdana" w:hAnsi="Verdana"/>
          <w:sz w:val="20"/>
          <w:szCs w:val="20"/>
        </w:rPr>
        <w:t xml:space="preserve">vez que os Certificados de Verificação dos referidos veículos têm prazo de validade </w:t>
      </w:r>
      <w:r>
        <w:rPr>
          <w:rFonts w:eastAsia="Times New Roman" w:cs="Times New Roman" w:ascii="Verdana" w:hAnsi="Verdana"/>
          <w:color w:val="auto"/>
          <w:kern w:val="0"/>
          <w:sz w:val="20"/>
          <w:szCs w:val="20"/>
          <w:lang w:val="pt-BR" w:eastAsia="zh-CN" w:bidi="ar-SA"/>
        </w:rPr>
        <w:t>de dois anos</w:t>
      </w:r>
      <w:r>
        <w:rPr>
          <w:rFonts w:ascii="Verdana" w:hAnsi="Verdana"/>
          <w:sz w:val="20"/>
          <w:szCs w:val="20"/>
        </w:rPr>
        <w:t>;</w:t>
      </w:r>
    </w:p>
    <w:p>
      <w:pPr>
        <w:pStyle w:val="Normal"/>
        <w:spacing w:lineRule="auto" w:line="276" w:before="57" w:after="57"/>
        <w:ind w:hanging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5.4. </w:t>
      </w:r>
      <w:r>
        <w:rPr>
          <w:rFonts w:ascii="Verdana" w:hAnsi="Verdana"/>
          <w:bCs/>
          <w:sz w:val="20"/>
          <w:szCs w:val="20"/>
        </w:rPr>
        <w:t>C</w:t>
      </w:r>
      <w:r>
        <w:rPr>
          <w:rFonts w:eastAsia="Times New Roman" w:cs="Times New Roman" w:ascii="Verdana" w:hAnsi="Verdana"/>
          <w:bCs/>
          <w:color w:val="auto"/>
          <w:kern w:val="0"/>
          <w:sz w:val="20"/>
          <w:szCs w:val="20"/>
          <w:lang w:val="pt-BR" w:eastAsia="zh-CN" w:bidi="ar-SA"/>
        </w:rPr>
        <w:t>onsiderando</w:t>
      </w:r>
      <w:r>
        <w:rPr>
          <w:rFonts w:ascii="Verdana" w:hAnsi="Verdana"/>
          <w:bCs/>
          <w:sz w:val="20"/>
          <w:szCs w:val="20"/>
        </w:rPr>
        <w:t xml:space="preserve"> a eventual necessidade de manutenção no instrumento de tacógrafo dos veículo</w:t>
      </w:r>
      <w:r>
        <w:rPr>
          <w:rFonts w:eastAsia="Times New Roman" w:cs="Times New Roman" w:ascii="Verdana" w:hAnsi="Verdana"/>
          <w:bCs/>
          <w:color w:val="auto"/>
          <w:kern w:val="0"/>
          <w:sz w:val="20"/>
          <w:szCs w:val="20"/>
          <w:lang w:val="pt-BR" w:eastAsia="zh-CN" w:bidi="ar-SA"/>
        </w:rPr>
        <w:t>s tipo ônibus.</w:t>
      </w:r>
    </w:p>
    <w:p>
      <w:pPr>
        <w:pStyle w:val="Normal"/>
        <w:spacing w:lineRule="auto" w:line="276" w:before="57" w:after="57"/>
        <w:ind w:hanging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/>
          <w:bCs/>
          <w:color w:val="auto"/>
          <w:kern w:val="0"/>
          <w:sz w:val="20"/>
          <w:szCs w:val="20"/>
          <w:lang w:val="pt-BR" w:eastAsia="zh-CN" w:bidi="ar-SA"/>
        </w:rPr>
        <w:t xml:space="preserve">5.5. </w:t>
      </w:r>
      <w:r>
        <w:rPr>
          <w:rFonts w:eastAsia="Times New Roman" w:cs="Times New Roman" w:ascii="Verdana" w:hAnsi="Verdana"/>
          <w:bCs/>
          <w:color w:val="auto"/>
          <w:kern w:val="0"/>
          <w:sz w:val="20"/>
          <w:szCs w:val="20"/>
          <w:lang w:val="pt-BR" w:eastAsia="zh-CN" w:bidi="ar-SA"/>
        </w:rPr>
        <w:t>Os</w:t>
      </w:r>
      <w:r>
        <w:rPr>
          <w:rFonts w:ascii="Verdana" w:hAnsi="Verdana"/>
          <w:bCs/>
          <w:sz w:val="20"/>
          <w:szCs w:val="20"/>
        </w:rPr>
        <w:t xml:space="preserve"> veículos que fazem o Transporte Escolar tem que estar em dia com a documentação, evitando assim sérios prejuízos a este município;</w:t>
      </w:r>
    </w:p>
    <w:p>
      <w:pPr>
        <w:pStyle w:val="Normal"/>
        <w:spacing w:lineRule="auto" w:line="276" w:before="57" w:after="57"/>
        <w:ind w:hanging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5.6. </w:t>
      </w:r>
      <w:r>
        <w:rPr>
          <w:rFonts w:ascii="Verdana" w:hAnsi="Verdana"/>
          <w:bCs/>
          <w:sz w:val="20"/>
          <w:szCs w:val="20"/>
        </w:rPr>
        <w:t>C</w:t>
      </w:r>
      <w:r>
        <w:rPr>
          <w:rFonts w:eastAsia="Times New Roman" w:cs="Times New Roman" w:ascii="Verdana" w:hAnsi="Verdana"/>
          <w:bCs/>
          <w:color w:val="auto"/>
          <w:kern w:val="0"/>
          <w:sz w:val="20"/>
          <w:szCs w:val="20"/>
          <w:lang w:val="pt-BR" w:eastAsia="zh-CN" w:bidi="ar-SA"/>
        </w:rPr>
        <w:t>onsiderando</w:t>
      </w:r>
      <w:r>
        <w:rPr>
          <w:rFonts w:ascii="Verdana" w:hAnsi="Verdana"/>
          <w:bCs/>
          <w:sz w:val="20"/>
          <w:szCs w:val="20"/>
        </w:rPr>
        <w:t xml:space="preserve"> a Súmula nº 247 do Tribunal de Contas da União: “</w:t>
      </w:r>
      <w:r>
        <w:rPr>
          <w:rFonts w:ascii="Verdana" w:hAnsi="Verdana"/>
          <w:bCs/>
          <w:i/>
          <w:iCs/>
          <w:sz w:val="20"/>
          <w:szCs w:val="20"/>
        </w:rPr>
        <w:t>É obrigatória a admissão da adjudicação por item e não por preço global, nos editais das licitações para a contratação de obras, serviços, compras e alienações, cujo objeto seja divisível, desde que não haja prejuízo para o conjunto ou complexo ou perda de economia de escala, tendo em vista o objetivo de propiciar a ampla participação de licitantes que, embora não dispondo de capacidade para a execução, fornecimento ou aquisição da totalidade do objeto, possam fazê-lo com relação a itens ou unidades autônomas, devendo as exigências de habilitação adequar-se a essa divisibilidade.”</w:t>
      </w:r>
    </w:p>
    <w:p>
      <w:pPr>
        <w:pStyle w:val="ListParagraph"/>
        <w:widowControl/>
        <w:numPr>
          <w:ilvl w:val="0"/>
          <w:numId w:val="0"/>
        </w:numPr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 xml:space="preserve">5.7. </w:t>
      </w:r>
      <w:r>
        <w:rPr>
          <w:rFonts w:eastAsia="Arial" w:cs="Arial" w:ascii="Verdana" w:hAnsi="Verdana"/>
          <w:sz w:val="20"/>
          <w:szCs w:val="20"/>
        </w:rPr>
        <w:t>Diante da necessidade acima, iniciou-se o presente ETP por meio do qual será possível decidir qual é a melhor solução.</w:t>
      </w:r>
    </w:p>
    <w:p>
      <w:pPr>
        <w:pStyle w:val="ListParagraph"/>
        <w:widowControl/>
        <w:numPr>
          <w:ilvl w:val="0"/>
          <w:numId w:val="0"/>
        </w:numPr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>5.8.</w:t>
      </w:r>
      <w:r>
        <w:rPr>
          <w:rFonts w:eastAsia="Arial" w:cs="Arial" w:ascii="Verdana" w:hAnsi="Verdana"/>
          <w:sz w:val="20"/>
          <w:szCs w:val="20"/>
        </w:rPr>
        <w:t xml:space="preserve"> A quantidade foi estimada com base na demanda </w:t>
      </w:r>
      <w:r>
        <w:rPr>
          <w:rFonts w:eastAsia="Arial" w:cs="Arial" w:ascii="Verdana" w:hAnsi="Verdana"/>
          <w:color w:val="auto"/>
          <w:kern w:val="0"/>
          <w:sz w:val="20"/>
          <w:szCs w:val="20"/>
          <w:lang w:val="pt-BR" w:eastAsia="zh-CN" w:bidi="ar-SA"/>
        </w:rPr>
        <w:t>da Secretaria de Educação.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>5.9.</w:t>
      </w:r>
      <w:r>
        <w:rPr>
          <w:rFonts w:eastAsia="Arial" w:cs="Arial" w:ascii="Verdana" w:hAnsi="Verdana"/>
          <w:sz w:val="20"/>
          <w:szCs w:val="20"/>
        </w:rPr>
        <w:t xml:space="preserve"> A contratação pretendida tem consonância com o planejamento estratégico desta Instituição, uma vez que consta na sua programação orçamentária e financeira anual. 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iCs/>
          <w:sz w:val="20"/>
          <w:szCs w:val="20"/>
        </w:rPr>
        <w:t>6. ÁREA REQUISITANTE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i w:val="false"/>
          <w:iCs w:val="false"/>
          <w:sz w:val="20"/>
          <w:szCs w:val="20"/>
        </w:rPr>
        <w:t>6.1</w:t>
      </w:r>
      <w:r>
        <w:rPr>
          <w:rFonts w:eastAsia="Arial" w:cs="Arial" w:ascii="Verdana" w:hAnsi="Verdana"/>
          <w:b w:val="false"/>
          <w:bCs w:val="false"/>
          <w:i w:val="false"/>
          <w:iCs w:val="false"/>
          <w:sz w:val="20"/>
          <w:szCs w:val="20"/>
        </w:rPr>
        <w:t xml:space="preserve"> </w:t>
      </w:r>
      <w:r>
        <w:rPr>
          <w:rFonts w:eastAsia="Arial" w:cs="Arial" w:ascii="Verdana" w:hAnsi="Verdana"/>
          <w:b w:val="false"/>
          <w:bCs w:val="false"/>
          <w:i w:val="false"/>
          <w:iCs w:val="false"/>
          <w:sz w:val="20"/>
          <w:szCs w:val="20"/>
        </w:rPr>
        <w:t xml:space="preserve">Secretaria Municipal de </w:t>
      </w:r>
      <w:r>
        <w:rPr>
          <w:rFonts w:eastAsia="Arial" w:cs="Arial" w:ascii="Verdana" w:hAnsi="Verdana"/>
          <w:b w:val="false"/>
          <w:bCs w:val="false"/>
          <w:i w:val="false"/>
          <w:iCs w:val="false"/>
          <w:color w:val="auto"/>
          <w:kern w:val="0"/>
          <w:sz w:val="20"/>
          <w:szCs w:val="20"/>
          <w:lang w:val="pt-BR" w:eastAsia="zh-CN" w:bidi="ar-SA"/>
        </w:rPr>
        <w:t>Educação.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shd w:fill="auto" w:val="clear"/>
        </w:rPr>
        <w:t>7. DESCRIÇÃO DOS REQUISITOS DA CONTRATAÇÃO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7.1. </w:t>
      </w:r>
      <w:r>
        <w:rPr>
          <w:rFonts w:ascii="Verdana" w:hAnsi="Verdana"/>
          <w:sz w:val="20"/>
          <w:szCs w:val="20"/>
        </w:rPr>
        <w:t xml:space="preserve">A quantidade e descrição do objeto a que se refere este </w:t>
      </w:r>
      <w:r>
        <w:rPr>
          <w:rFonts w:eastAsia="Times New Roman" w:cs="Times New Roman" w:ascii="Verdana" w:hAnsi="Verdana"/>
          <w:color w:val="auto"/>
          <w:kern w:val="0"/>
          <w:sz w:val="20"/>
          <w:szCs w:val="20"/>
          <w:lang w:val="pt-BR" w:eastAsia="zh-CN" w:bidi="ar-SA"/>
        </w:rPr>
        <w:t>Estudo Técnico Preliminar</w:t>
      </w:r>
      <w:r>
        <w:rPr>
          <w:rFonts w:ascii="Verdana" w:hAnsi="Verdana"/>
          <w:sz w:val="20"/>
          <w:szCs w:val="20"/>
        </w:rPr>
        <w:t xml:space="preserve"> estão descritos </w:t>
      </w:r>
      <w:r>
        <w:rPr>
          <w:rFonts w:eastAsia="Times New Roman" w:cs="Times New Roman" w:ascii="Verdana" w:hAnsi="Verdana"/>
          <w:color w:val="auto"/>
          <w:kern w:val="0"/>
          <w:sz w:val="20"/>
          <w:szCs w:val="20"/>
          <w:lang w:val="pt-BR" w:eastAsia="zh-CN" w:bidi="ar-SA"/>
        </w:rPr>
        <w:t>no item 8.1</w:t>
      </w:r>
      <w:r>
        <w:rPr>
          <w:rFonts w:ascii="Verdana" w:hAnsi="Verdana"/>
          <w:sz w:val="20"/>
          <w:szCs w:val="20"/>
        </w:rPr>
        <w:t>.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7.2 </w:t>
      </w:r>
      <w:r>
        <w:rPr>
          <w:rFonts w:ascii="Verdana" w:hAnsi="Verdana"/>
          <w:sz w:val="20"/>
          <w:szCs w:val="20"/>
        </w:rPr>
        <w:t>Apresentar os documentos de cobrança, inclusive Nota Fiscal, com a descrição dos serviços realizados;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/>
          <w:color w:val="auto"/>
          <w:kern w:val="0"/>
          <w:sz w:val="20"/>
          <w:szCs w:val="20"/>
          <w:lang w:val="pt-BR" w:eastAsia="zh-CN" w:bidi="ar-SA"/>
        </w:rPr>
        <w:t>7</w:t>
      </w:r>
      <w:r>
        <w:rPr>
          <w:rFonts w:ascii="Verdana" w:hAnsi="Verdana"/>
          <w:b/>
          <w:sz w:val="20"/>
          <w:szCs w:val="20"/>
        </w:rPr>
        <w:t xml:space="preserve">.3. </w:t>
      </w:r>
      <w:r>
        <w:rPr>
          <w:rFonts w:ascii="Verdana" w:hAnsi="Verdana"/>
          <w:sz w:val="20"/>
          <w:szCs w:val="20"/>
        </w:rPr>
        <w:t>Assumir inteira responsabilidade civil, administrativa e penal por quaisquer danos e prejuízos, aos equipamentos ou pessoas, causados pela Contratada, seus empregados, ou prepostos ao Contratante ou a terceiros;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7.4.</w:t>
      </w:r>
      <w:r>
        <w:rPr>
          <w:rFonts w:ascii="Verdana" w:hAnsi="Verdana"/>
          <w:sz w:val="20"/>
          <w:szCs w:val="20"/>
        </w:rPr>
        <w:t xml:space="preserve"> Obriga-se a Contratada, mediante solicitação do Contratante, a orçar previamente eventual execução de serviços não cobertos pelo objeto do Contrato;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7.5.</w:t>
      </w:r>
      <w:r>
        <w:rPr>
          <w:rFonts w:ascii="Verdana" w:hAnsi="Verdana"/>
          <w:sz w:val="20"/>
          <w:szCs w:val="20"/>
        </w:rPr>
        <w:t xml:space="preserve"> Prover condições que possibilitem o atendimento dos serviços a partir da data da assinatura do contrato;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7.6.</w:t>
      </w:r>
      <w:r>
        <w:rPr>
          <w:rFonts w:ascii="Verdana" w:hAnsi="Verdana"/>
          <w:sz w:val="20"/>
          <w:szCs w:val="20"/>
        </w:rPr>
        <w:t xml:space="preserve"> Manter durante a vigência do Contrato todas as condições de habilitação e qualificação exigidas pela legislação em vigor;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7.7.</w:t>
      </w:r>
      <w:r>
        <w:rPr>
          <w:rFonts w:ascii="Verdana" w:hAnsi="Verdana"/>
          <w:sz w:val="20"/>
          <w:szCs w:val="20"/>
        </w:rPr>
        <w:t xml:space="preserve"> Ressarcir os eventuais prejuízos causados ao órgão e/ou a terceiros, provocados por ineficiência ou irregularidades cometidas por seus empregados ou prepostos na execução dos serviços contratados;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7.8.</w:t>
      </w:r>
      <w:r>
        <w:rPr>
          <w:rFonts w:ascii="Verdana" w:hAnsi="Verdana"/>
          <w:sz w:val="20"/>
          <w:szCs w:val="20"/>
        </w:rPr>
        <w:t xml:space="preserve"> Permitir e facilitar aos fiscais da Prefeitura de São Gabriel da Palha a inspeção em qualquer dia e hora, prestando todos informes e esclarecimentos solicitados, relacionados com os serviços contratados;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/>
          <w:color w:val="auto"/>
          <w:kern w:val="0"/>
          <w:sz w:val="20"/>
          <w:szCs w:val="20"/>
          <w:lang w:val="pt-BR" w:eastAsia="zh-CN" w:bidi="ar-SA"/>
        </w:rPr>
        <w:t>7.9.</w:t>
      </w:r>
      <w:r>
        <w:rPr>
          <w:rFonts w:ascii="Verdana" w:hAnsi="Verdana"/>
          <w:sz w:val="20"/>
          <w:szCs w:val="20"/>
        </w:rPr>
        <w:t xml:space="preserve"> Manter-se plenamente de acordo com os preceitos legais pertinentes à segurança do trabalho, adotando sempre as melhores normas técnicas de segurança e saúde aos profissionais que atuarão na execução do objeto do Contrato;</w:t>
      </w:r>
    </w:p>
    <w:p>
      <w:pPr>
        <w:pStyle w:val="Normal"/>
        <w:tabs>
          <w:tab w:val="clear" w:pos="720"/>
          <w:tab w:val="left" w:pos="142" w:leader="none"/>
        </w:tabs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 w:val="false"/>
          <w:sz w:val="20"/>
          <w:szCs w:val="20"/>
        </w:rPr>
        <w:t>7.10.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 xml:space="preserve"> Executar os serviços de acordo com a melhor técnica e nos padrões de segurança;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/>
          <w:color w:val="auto"/>
          <w:kern w:val="0"/>
          <w:sz w:val="20"/>
          <w:szCs w:val="20"/>
          <w:lang w:val="pt-BR" w:eastAsia="zh-CN" w:bidi="ar-SA"/>
        </w:rPr>
        <w:t>7.11.</w:t>
      </w:r>
      <w:r>
        <w:rPr>
          <w:rFonts w:eastAsia="Arial" w:cs="Arial" w:ascii="Verdana" w:hAnsi="Verdana"/>
          <w:b/>
          <w:color w:val="auto"/>
          <w:kern w:val="0"/>
          <w:sz w:val="20"/>
          <w:szCs w:val="20"/>
          <w:lang w:val="pt-BR" w:eastAsia="zh-CN" w:bidi="ar-SA"/>
        </w:rPr>
        <w:t xml:space="preserve"> </w:t>
      </w:r>
      <w:r>
        <w:rPr>
          <w:rFonts w:eastAsia="Arial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Atender com plenitude as exigências contidas nas especificações do objeto do Contrato;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color w:val="auto"/>
          <w:kern w:val="0"/>
          <w:sz w:val="20"/>
          <w:szCs w:val="20"/>
          <w:lang w:val="pt-BR" w:eastAsia="zh-CN" w:bidi="ar-SA"/>
        </w:rPr>
        <w:t>7.12.</w:t>
      </w:r>
      <w:r>
        <w:rPr>
          <w:rFonts w:eastAsia="Arial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 xml:space="preserve"> A empresa vencedora será a mesma para a prestação de serviços de aferição e manutenção de tacógrafos e fornecimento de peças para os mesmos, dessa forma, a reposição das peças para o perfeito funcionamento dos instrumentos será feito no mesmo momento da prestação de serviços, proporcionando economia para o Município.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/>
          <w:color w:val="auto"/>
          <w:kern w:val="0"/>
          <w:sz w:val="20"/>
          <w:szCs w:val="20"/>
          <w:lang w:val="pt-BR" w:eastAsia="zh-CN" w:bidi="ar-SA"/>
        </w:rPr>
        <w:t>7.13.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Será feito orçamento para todas as peças/serviços que poderão vir a ser utilizados, não ficando obrigada a contratante adquirir essas peças/serviços constantes no </w:t>
      </w:r>
      <w:r>
        <w:rPr>
          <w:rFonts w:eastAsia="Times New Roman" w:cs="Times New Roman" w:ascii="Verdana" w:hAnsi="Verdana"/>
          <w:color w:val="auto"/>
          <w:kern w:val="0"/>
          <w:sz w:val="20"/>
          <w:szCs w:val="20"/>
          <w:lang w:val="pt-BR" w:eastAsia="zh-CN" w:bidi="ar-SA"/>
        </w:rPr>
        <w:t>contrato</w:t>
      </w:r>
      <w:r>
        <w:rPr>
          <w:rFonts w:ascii="Verdana" w:hAnsi="Verdana"/>
          <w:sz w:val="20"/>
          <w:szCs w:val="20"/>
        </w:rPr>
        <w:t>, portanto será adquirido somente as peças necessárias ao perfeito funcionamento dos instrumentos de cronotacógrafos.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 w:val="false"/>
          <w:color w:val="auto"/>
          <w:kern w:val="0"/>
          <w:sz w:val="20"/>
          <w:szCs w:val="20"/>
          <w:lang w:val="pt-BR" w:eastAsia="zh-CN" w:bidi="ar-SA"/>
        </w:rPr>
        <w:t>7.14.</w:t>
      </w:r>
      <w:r>
        <w:rPr>
          <w:rFonts w:eastAsia="Arial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 xml:space="preserve"> A contratada retirará a Nota fiscal das peças utilizadas para a manutenção dos tacógrafos, e somente estas serão liquidadas e pagas por esta Prefeitura, juntamente com os serviços executados.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8. ESTIMATIVA DAS QUANTIDADES A SEREM CONTRATADA  E VALORES</w:t>
      </w:r>
    </w:p>
    <w:p>
      <w:pPr>
        <w:pStyle w:val="Normal"/>
        <w:suppressAutoHyphens w:val="false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 xml:space="preserve">8.1. </w:t>
      </w:r>
      <w:r>
        <w:rPr>
          <w:rFonts w:cs="Arial" w:ascii="Verdana" w:hAnsi="Verdana"/>
          <w:sz w:val="20"/>
          <w:szCs w:val="20"/>
        </w:rPr>
        <w:t>A relação dos itens necessários para contemplar a solução, bem como a estimativa da quantidade a ser contratada é apresentada na tabela a seguir:</w:t>
      </w:r>
    </w:p>
    <w:tbl>
      <w:tblPr>
        <w:tblW w:w="10208" w:type="dxa"/>
        <w:jc w:val="left"/>
        <w:tblInd w:w="8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4a0"/>
      </w:tblPr>
      <w:tblGrid>
        <w:gridCol w:w="810"/>
        <w:gridCol w:w="5505"/>
        <w:gridCol w:w="795"/>
        <w:gridCol w:w="1410"/>
        <w:gridCol w:w="1688"/>
      </w:tblGrid>
      <w:tr>
        <w:trPr>
          <w:trHeight w:val="269" w:hRule="atLeast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>LOTE</w:t>
            </w: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>MÃO DE OBRA/PEÇAS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>QTDE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VALOR </w:t>
            </w:r>
            <w:r>
              <w:rPr>
                <w:rFonts w:eastAsia="Times New Roman" w:cs="Times New Roman" w:ascii="Verdana" w:hAnsi="Verdana"/>
                <w:b/>
                <w:bCs/>
                <w:color w:val="auto"/>
                <w:kern w:val="0"/>
                <w:sz w:val="20"/>
                <w:szCs w:val="20"/>
                <w:lang w:val="pt-BR" w:eastAsia="zh-CN" w:bidi="ar-SA"/>
              </w:rPr>
              <w:t>UNITÁRIO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VALOR TOTAL</w:t>
            </w:r>
          </w:p>
        </w:tc>
      </w:tr>
      <w:tr>
        <w:trPr>
          <w:trHeight w:val="269" w:hRule="atLeast"/>
        </w:trPr>
        <w:tc>
          <w:tcPr>
            <w:tcW w:w="81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1</w:t>
            </w:r>
          </w:p>
        </w:tc>
        <w:tc>
          <w:tcPr>
            <w:tcW w:w="5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Prestação de serviços de aferição de tacógrafo vdo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60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R$ 250,00</w:t>
            </w:r>
          </w:p>
        </w:tc>
        <w:tc>
          <w:tcPr>
            <w:tcW w:w="1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R$ 15.000,00</w:t>
            </w:r>
          </w:p>
        </w:tc>
      </w:tr>
      <w:tr>
        <w:trPr>
          <w:trHeight w:val="269" w:hRule="atLeast"/>
        </w:trPr>
        <w:tc>
          <w:tcPr>
            <w:tcW w:w="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5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Prestação de serviços de aferição de tacógrafo seva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30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R$ 100,00</w:t>
            </w:r>
          </w:p>
        </w:tc>
        <w:tc>
          <w:tcPr>
            <w:tcW w:w="1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R$ 3.000,00</w:t>
            </w:r>
          </w:p>
        </w:tc>
      </w:tr>
      <w:tr>
        <w:trPr>
          <w:trHeight w:val="269" w:hRule="atLeast"/>
        </w:trPr>
        <w:tc>
          <w:tcPr>
            <w:tcW w:w="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5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both"/>
              <w:rPr>
                <w:rFonts w:ascii="Verdana" w:hAnsi="Verdana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 xml:space="preserve">Prestação de serviços de manutenção de tacógrafo </w:t>
            </w:r>
            <w:r>
              <w:rPr>
                <w:rFonts w:eastAsia="Times New Roman" w:cs="Times New Roman" w:ascii="Verdana" w:hAnsi="Verdana"/>
                <w:color w:val="auto"/>
                <w:kern w:val="0"/>
                <w:sz w:val="19"/>
                <w:szCs w:val="19"/>
                <w:lang w:val="pt-BR" w:eastAsia="zh-CN" w:bidi="ar-SA"/>
              </w:rPr>
              <w:t>VDO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60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R$ 250,00</w:t>
            </w:r>
          </w:p>
        </w:tc>
        <w:tc>
          <w:tcPr>
            <w:tcW w:w="1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R$ 15.000,00</w:t>
            </w:r>
          </w:p>
        </w:tc>
      </w:tr>
      <w:tr>
        <w:trPr>
          <w:trHeight w:val="269" w:hRule="atLeast"/>
        </w:trPr>
        <w:tc>
          <w:tcPr>
            <w:tcW w:w="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5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18"/>
                <w:szCs w:val="18"/>
                <w:lang w:val="pt-BR" w:eastAsia="zh-CN" w:bidi="ar-SA"/>
              </w:rPr>
              <w:t>Prestação de serviços de manutenção de tacógrafo seva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30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R$ 100,00</w:t>
            </w:r>
          </w:p>
        </w:tc>
        <w:tc>
          <w:tcPr>
            <w:tcW w:w="1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R$ 3.000,00</w:t>
            </w:r>
          </w:p>
        </w:tc>
      </w:tr>
      <w:tr>
        <w:trPr>
          <w:trHeight w:val="269" w:hRule="atLeast"/>
        </w:trPr>
        <w:tc>
          <w:tcPr>
            <w:tcW w:w="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5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Magnético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5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R$ 170,00</w:t>
            </w:r>
          </w:p>
        </w:tc>
        <w:tc>
          <w:tcPr>
            <w:tcW w:w="1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R$ 850,00</w:t>
            </w:r>
          </w:p>
        </w:tc>
      </w:tr>
      <w:tr>
        <w:trPr>
          <w:trHeight w:val="269" w:hRule="atLeast"/>
        </w:trPr>
        <w:tc>
          <w:tcPr>
            <w:tcW w:w="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5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Agulha de velocidade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5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R$ 64,00</w:t>
            </w:r>
          </w:p>
        </w:tc>
        <w:tc>
          <w:tcPr>
            <w:tcW w:w="1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R$ 320,00</w:t>
            </w:r>
          </w:p>
        </w:tc>
      </w:tr>
      <w:tr>
        <w:trPr>
          <w:trHeight w:val="269" w:hRule="atLeast"/>
        </w:trPr>
        <w:tc>
          <w:tcPr>
            <w:tcW w:w="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5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Agulha de distância e tempo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5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R$ 64,00</w:t>
            </w:r>
          </w:p>
        </w:tc>
        <w:tc>
          <w:tcPr>
            <w:tcW w:w="1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R$ 320,00</w:t>
            </w:r>
          </w:p>
        </w:tc>
      </w:tr>
      <w:tr>
        <w:trPr>
          <w:trHeight w:val="269" w:hRule="atLeast"/>
        </w:trPr>
        <w:tc>
          <w:tcPr>
            <w:tcW w:w="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5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Eixo de transição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5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R$ 40,00</w:t>
            </w:r>
          </w:p>
        </w:tc>
        <w:tc>
          <w:tcPr>
            <w:tcW w:w="1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R$ 200,00</w:t>
            </w:r>
          </w:p>
        </w:tc>
      </w:tr>
      <w:tr>
        <w:trPr>
          <w:trHeight w:val="269" w:hRule="atLeast"/>
        </w:trPr>
        <w:tc>
          <w:tcPr>
            <w:tcW w:w="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5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Platina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5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R$ 330,00</w:t>
            </w:r>
          </w:p>
        </w:tc>
        <w:tc>
          <w:tcPr>
            <w:tcW w:w="1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R$ 1.650,00</w:t>
            </w:r>
          </w:p>
        </w:tc>
      </w:tr>
      <w:tr>
        <w:trPr>
          <w:trHeight w:val="269" w:hRule="atLeast"/>
        </w:trPr>
        <w:tc>
          <w:tcPr>
            <w:tcW w:w="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5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Agulha de tempo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5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R$ 50,00</w:t>
            </w:r>
          </w:p>
        </w:tc>
        <w:tc>
          <w:tcPr>
            <w:tcW w:w="1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R$ 250,00</w:t>
            </w:r>
          </w:p>
        </w:tc>
      </w:tr>
      <w:tr>
        <w:trPr>
          <w:trHeight w:val="269" w:hRule="atLeast"/>
        </w:trPr>
        <w:tc>
          <w:tcPr>
            <w:tcW w:w="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5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Agulha de distância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5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R$ 64,00</w:t>
            </w:r>
          </w:p>
        </w:tc>
        <w:tc>
          <w:tcPr>
            <w:tcW w:w="1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R$ 320,00</w:t>
            </w:r>
          </w:p>
        </w:tc>
      </w:tr>
      <w:tr>
        <w:trPr>
          <w:trHeight w:val="269" w:hRule="atLeast"/>
        </w:trPr>
        <w:tc>
          <w:tcPr>
            <w:tcW w:w="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5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Imã de relógio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5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R$ 40,00</w:t>
            </w:r>
          </w:p>
        </w:tc>
        <w:tc>
          <w:tcPr>
            <w:tcW w:w="1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R$ 200,00</w:t>
            </w:r>
          </w:p>
        </w:tc>
      </w:tr>
      <w:tr>
        <w:trPr>
          <w:trHeight w:val="269" w:hRule="atLeast"/>
        </w:trPr>
        <w:tc>
          <w:tcPr>
            <w:tcW w:w="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5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Tampa conexão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5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R$ 40,00</w:t>
            </w:r>
          </w:p>
        </w:tc>
        <w:tc>
          <w:tcPr>
            <w:tcW w:w="1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R$ 200,00</w:t>
            </w:r>
          </w:p>
        </w:tc>
      </w:tr>
      <w:tr>
        <w:trPr>
          <w:trHeight w:val="269" w:hRule="atLeast"/>
        </w:trPr>
        <w:tc>
          <w:tcPr>
            <w:tcW w:w="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5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Sensor de velocidade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5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R$ 350,00</w:t>
            </w:r>
          </w:p>
        </w:tc>
        <w:tc>
          <w:tcPr>
            <w:tcW w:w="1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R$ 1.750,00</w:t>
            </w:r>
          </w:p>
        </w:tc>
      </w:tr>
      <w:tr>
        <w:trPr>
          <w:trHeight w:val="269" w:hRule="atLeast"/>
        </w:trPr>
        <w:tc>
          <w:tcPr>
            <w:tcW w:w="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5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Garfo (peça tacógrafo)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5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R$ 30,00</w:t>
            </w:r>
          </w:p>
        </w:tc>
        <w:tc>
          <w:tcPr>
            <w:tcW w:w="1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R$ 150,00</w:t>
            </w:r>
          </w:p>
        </w:tc>
      </w:tr>
      <w:tr>
        <w:trPr>
          <w:trHeight w:val="269" w:hRule="atLeast"/>
        </w:trPr>
        <w:tc>
          <w:tcPr>
            <w:tcW w:w="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5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Lacre reparo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90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R$ 1,00</w:t>
            </w:r>
          </w:p>
        </w:tc>
        <w:tc>
          <w:tcPr>
            <w:tcW w:w="1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R$ 90,00</w:t>
            </w:r>
          </w:p>
        </w:tc>
      </w:tr>
      <w:tr>
        <w:trPr>
          <w:trHeight w:val="269" w:hRule="atLeast"/>
        </w:trPr>
        <w:tc>
          <w:tcPr>
            <w:tcW w:w="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5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Kit conversão gaveta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 xml:space="preserve">R$ </w:t>
            </w:r>
            <w:r>
              <w:rPr>
                <w:rFonts w:ascii="Verdana" w:hAnsi="Verdana"/>
                <w:sz w:val="20"/>
                <w:szCs w:val="20"/>
              </w:rPr>
              <w:t>70,00</w:t>
            </w:r>
          </w:p>
        </w:tc>
        <w:tc>
          <w:tcPr>
            <w:tcW w:w="1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 xml:space="preserve">R$ </w:t>
            </w:r>
            <w:r>
              <w:rPr>
                <w:rFonts w:ascii="Verdana" w:hAnsi="Verdana"/>
                <w:sz w:val="20"/>
                <w:szCs w:val="20"/>
              </w:rPr>
              <w:t>350,00</w:t>
            </w:r>
          </w:p>
        </w:tc>
      </w:tr>
      <w:tr>
        <w:trPr>
          <w:trHeight w:val="269" w:hRule="atLeast"/>
        </w:trPr>
        <w:tc>
          <w:tcPr>
            <w:tcW w:w="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5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Bobina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 xml:space="preserve">R$ </w:t>
            </w:r>
            <w:r>
              <w:rPr>
                <w:rFonts w:ascii="Verdana" w:hAnsi="Verdana"/>
                <w:sz w:val="20"/>
                <w:szCs w:val="20"/>
              </w:rPr>
              <w:t>25,00</w:t>
            </w:r>
          </w:p>
        </w:tc>
        <w:tc>
          <w:tcPr>
            <w:tcW w:w="1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 xml:space="preserve">R$ </w:t>
            </w:r>
            <w:r>
              <w:rPr>
                <w:rFonts w:ascii="Verdana" w:hAnsi="Verdana"/>
                <w:sz w:val="20"/>
                <w:szCs w:val="20"/>
              </w:rPr>
              <w:t>125,00</w:t>
            </w:r>
          </w:p>
        </w:tc>
      </w:tr>
      <w:tr>
        <w:trPr>
          <w:trHeight w:val="269" w:hRule="atLeast"/>
        </w:trPr>
        <w:tc>
          <w:tcPr>
            <w:tcW w:w="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5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Guarda pó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 xml:space="preserve">R$ </w:t>
            </w:r>
            <w:r>
              <w:rPr>
                <w:rFonts w:ascii="Verdana" w:hAnsi="Verdana"/>
                <w:sz w:val="20"/>
                <w:szCs w:val="20"/>
              </w:rPr>
              <w:t>30,00</w:t>
            </w:r>
          </w:p>
        </w:tc>
        <w:tc>
          <w:tcPr>
            <w:tcW w:w="1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 xml:space="preserve">R$ </w:t>
            </w:r>
            <w:r>
              <w:rPr>
                <w:rFonts w:ascii="Verdana" w:hAnsi="Verdana"/>
                <w:sz w:val="20"/>
                <w:szCs w:val="20"/>
              </w:rPr>
              <w:t>150,00</w:t>
            </w:r>
          </w:p>
        </w:tc>
      </w:tr>
      <w:tr>
        <w:trPr>
          <w:trHeight w:val="269" w:hRule="atLeast"/>
        </w:trPr>
        <w:tc>
          <w:tcPr>
            <w:tcW w:w="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5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Porca (peça tacógrafo)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 xml:space="preserve">R$ </w:t>
            </w:r>
            <w:r>
              <w:rPr>
                <w:rFonts w:ascii="Verdana" w:hAnsi="Verdana"/>
                <w:sz w:val="20"/>
                <w:szCs w:val="20"/>
              </w:rPr>
              <w:t>10,00</w:t>
            </w:r>
          </w:p>
        </w:tc>
        <w:tc>
          <w:tcPr>
            <w:tcW w:w="1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 xml:space="preserve">R$ </w:t>
            </w:r>
            <w:r>
              <w:rPr>
                <w:rFonts w:ascii="Verdana" w:hAnsi="Verdana"/>
                <w:sz w:val="20"/>
                <w:szCs w:val="20"/>
              </w:rPr>
              <w:t>50,00</w:t>
            </w:r>
          </w:p>
        </w:tc>
      </w:tr>
      <w:tr>
        <w:trPr>
          <w:trHeight w:val="269" w:hRule="atLeast"/>
        </w:trPr>
        <w:tc>
          <w:tcPr>
            <w:tcW w:w="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5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Conjunto transmissão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 xml:space="preserve">R$ </w:t>
            </w:r>
            <w:r>
              <w:rPr>
                <w:rFonts w:ascii="Verdana" w:hAnsi="Verdana"/>
                <w:sz w:val="20"/>
                <w:szCs w:val="20"/>
              </w:rPr>
              <w:t>80,00</w:t>
            </w:r>
          </w:p>
        </w:tc>
        <w:tc>
          <w:tcPr>
            <w:tcW w:w="1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 xml:space="preserve">R$ </w:t>
            </w:r>
            <w:r>
              <w:rPr>
                <w:rFonts w:ascii="Verdana" w:hAnsi="Verdana"/>
                <w:sz w:val="20"/>
                <w:szCs w:val="20"/>
              </w:rPr>
              <w:t>400,00</w:t>
            </w:r>
          </w:p>
        </w:tc>
      </w:tr>
      <w:tr>
        <w:trPr>
          <w:trHeight w:val="269" w:hRule="atLeast"/>
        </w:trPr>
        <w:tc>
          <w:tcPr>
            <w:tcW w:w="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5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Conjunto contato alarme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 xml:space="preserve">R$ </w:t>
            </w:r>
            <w:r>
              <w:rPr>
                <w:rFonts w:ascii="Verdana" w:hAnsi="Verdana"/>
                <w:sz w:val="20"/>
                <w:szCs w:val="20"/>
              </w:rPr>
              <w:t>35,00</w:t>
            </w:r>
          </w:p>
        </w:tc>
        <w:tc>
          <w:tcPr>
            <w:tcW w:w="1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 xml:space="preserve">R$ </w:t>
            </w:r>
            <w:r>
              <w:rPr>
                <w:rFonts w:ascii="Verdana" w:hAnsi="Verdana"/>
                <w:sz w:val="20"/>
                <w:szCs w:val="20"/>
              </w:rPr>
              <w:t>175,00</w:t>
            </w:r>
          </w:p>
        </w:tc>
      </w:tr>
      <w:tr>
        <w:trPr>
          <w:trHeight w:val="269" w:hRule="atLeast"/>
        </w:trPr>
        <w:tc>
          <w:tcPr>
            <w:tcW w:w="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5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Display tacógrafo digital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 xml:space="preserve">R$ </w:t>
            </w:r>
            <w:r>
              <w:rPr>
                <w:rFonts w:ascii="Verdana" w:hAnsi="Verdana"/>
                <w:sz w:val="20"/>
                <w:szCs w:val="20"/>
              </w:rPr>
              <w:t>300,00</w:t>
            </w:r>
          </w:p>
        </w:tc>
        <w:tc>
          <w:tcPr>
            <w:tcW w:w="1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 xml:space="preserve">R$ </w:t>
            </w:r>
            <w:r>
              <w:rPr>
                <w:rFonts w:ascii="Verdana" w:hAnsi="Verdana"/>
                <w:sz w:val="20"/>
                <w:szCs w:val="20"/>
              </w:rPr>
              <w:t>1.500,00</w:t>
            </w:r>
          </w:p>
        </w:tc>
      </w:tr>
      <w:tr>
        <w:trPr>
          <w:trHeight w:val="269" w:hRule="atLeast"/>
        </w:trPr>
        <w:tc>
          <w:tcPr>
            <w:tcW w:w="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5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Impressora para tacógrafo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 xml:space="preserve">R$ </w:t>
            </w:r>
            <w:r>
              <w:rPr>
                <w:rFonts w:ascii="Verdana" w:hAnsi="Verdana"/>
                <w:sz w:val="20"/>
                <w:szCs w:val="20"/>
              </w:rPr>
              <w:t>350,00</w:t>
            </w:r>
          </w:p>
        </w:tc>
        <w:tc>
          <w:tcPr>
            <w:tcW w:w="1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 xml:space="preserve">R$ </w:t>
            </w:r>
            <w:r>
              <w:rPr>
                <w:rFonts w:ascii="Verdana" w:hAnsi="Verdana"/>
                <w:sz w:val="20"/>
                <w:szCs w:val="20"/>
              </w:rPr>
              <w:t>1.750,00</w:t>
            </w:r>
          </w:p>
        </w:tc>
      </w:tr>
      <w:tr>
        <w:trPr>
          <w:trHeight w:val="269" w:hRule="atLeast"/>
        </w:trPr>
        <w:tc>
          <w:tcPr>
            <w:tcW w:w="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5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both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Tacógrafo eletrônico 1390 – diário 24v completo e novo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 xml:space="preserve">R$ </w:t>
            </w:r>
            <w:r>
              <w:rPr>
                <w:rFonts w:ascii="Verdana" w:hAnsi="Verdana"/>
                <w:sz w:val="20"/>
                <w:szCs w:val="20"/>
              </w:rPr>
              <w:t>1.500,00</w:t>
            </w:r>
          </w:p>
        </w:tc>
        <w:tc>
          <w:tcPr>
            <w:tcW w:w="1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 xml:space="preserve">R$ </w:t>
            </w:r>
            <w:r>
              <w:rPr>
                <w:rFonts w:ascii="Verdana" w:hAnsi="Verdana"/>
                <w:sz w:val="20"/>
                <w:szCs w:val="20"/>
              </w:rPr>
              <w:t>7.500,00</w:t>
            </w:r>
          </w:p>
        </w:tc>
      </w:tr>
      <w:tr>
        <w:trPr>
          <w:trHeight w:val="269" w:hRule="atLeast"/>
        </w:trPr>
        <w:tc>
          <w:tcPr>
            <w:tcW w:w="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5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Odômetro 1318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 xml:space="preserve">R$ </w:t>
            </w:r>
            <w:r>
              <w:rPr>
                <w:rFonts w:ascii="Verdana" w:hAnsi="Verdana"/>
                <w:sz w:val="20"/>
                <w:szCs w:val="20"/>
              </w:rPr>
              <w:t>134,00</w:t>
            </w:r>
          </w:p>
        </w:tc>
        <w:tc>
          <w:tcPr>
            <w:tcW w:w="1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 xml:space="preserve">R$ </w:t>
            </w:r>
            <w:r>
              <w:rPr>
                <w:rFonts w:ascii="Verdana" w:hAnsi="Verdana"/>
                <w:sz w:val="20"/>
                <w:szCs w:val="20"/>
              </w:rPr>
              <w:t>670,00</w:t>
            </w:r>
          </w:p>
        </w:tc>
      </w:tr>
      <w:tr>
        <w:trPr>
          <w:trHeight w:val="269" w:hRule="atLeast"/>
        </w:trPr>
        <w:tc>
          <w:tcPr>
            <w:tcW w:w="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5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Relógio 1318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 xml:space="preserve">R$ </w:t>
            </w:r>
            <w:r>
              <w:rPr>
                <w:rFonts w:ascii="Verdana" w:hAnsi="Verdana"/>
                <w:sz w:val="20"/>
                <w:szCs w:val="20"/>
              </w:rPr>
              <w:t>200,00</w:t>
            </w:r>
          </w:p>
        </w:tc>
        <w:tc>
          <w:tcPr>
            <w:tcW w:w="1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 xml:space="preserve">R$ </w:t>
            </w:r>
            <w:r>
              <w:rPr>
                <w:rFonts w:ascii="Verdana" w:hAnsi="Verdana"/>
                <w:sz w:val="20"/>
                <w:szCs w:val="20"/>
              </w:rPr>
              <w:t>1.000,00</w:t>
            </w:r>
          </w:p>
        </w:tc>
      </w:tr>
      <w:tr>
        <w:trPr>
          <w:trHeight w:val="325" w:hRule="atLeast"/>
        </w:trPr>
        <w:tc>
          <w:tcPr>
            <w:tcW w:w="8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5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VALOR GLOBAL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right="0"/>
              <w:jc w:val="right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R$ 55.970,00</w:t>
            </w:r>
          </w:p>
        </w:tc>
      </w:tr>
    </w:tbl>
    <w:p>
      <w:pPr>
        <w:pStyle w:val="Normal"/>
        <w:spacing w:lineRule="auto" w:line="276" w:before="57" w:after="57"/>
        <w:ind w:right="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9. LEVANTAMENTO DE MERCADO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9.1. </w:t>
      </w:r>
      <w:r>
        <w:rPr>
          <w:rFonts w:cs="Arial" w:ascii="Verdana" w:hAnsi="Verdana"/>
          <w:sz w:val="20"/>
          <w:szCs w:val="2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9.2.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 A estimativa de preço e elaboração de planilhas foi realizada conforme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a última contratação dos serviços.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9.1.2. </w:t>
      </w:r>
      <w:r>
        <w:rPr>
          <w:rFonts w:cs="Arial" w:ascii="Verdana" w:hAnsi="Verdana"/>
          <w:sz w:val="20"/>
          <w:szCs w:val="20"/>
        </w:rPr>
        <w:t>A instrução Normativa 05/2017, do Ministério do Planejamento, Desenvolvimento e Gestão, que define a necessidade de realização de planilhas de custos nos processos de contratação dos serviços com regime de dedicação exclusiva de mão de obra.</w:t>
      </w:r>
    </w:p>
    <w:p>
      <w:pPr>
        <w:pStyle w:val="Normal"/>
        <w:suppressAutoHyphens w:val="false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10. DESCRIÇÃO DA SOLUÇÃO COMO UM TODO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10.1</w:t>
      </w:r>
      <w:r>
        <w:rPr>
          <w:rFonts w:cs="Arial" w:ascii="Verdana" w:hAnsi="Verdana"/>
          <w:sz w:val="20"/>
          <w:szCs w:val="20"/>
        </w:rPr>
        <w:t xml:space="preserve"> A solução a ser adotada consiste na </w:t>
      </w:r>
      <w:r>
        <w:rPr>
          <w:rFonts w:eastAsia="Arial" w:cs="Times New Roman" w:ascii="Verdana" w:hAnsi="Verdana"/>
          <w:b w:val="false"/>
          <w:bCs w:val="false"/>
          <w:sz w:val="20"/>
          <w:szCs w:val="20"/>
        </w:rPr>
        <w:t>Contratação de empresa especializada para serviços de aferição e manutenção de tacógrafos com fornecimento de peças, se necessário, para manutenção de tacógrafos dos veículos da frota da Secretaria Municipal de Educação, para obtenção do Certificado de Verificação, válido por 2 (dois) anos.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Times New Roman" w:ascii="Verdana" w:hAnsi="Verdana"/>
          <w:b/>
          <w:bCs/>
          <w:sz w:val="20"/>
          <w:szCs w:val="20"/>
          <w:shd w:fill="auto" w:val="clear"/>
        </w:rPr>
        <w:t>10.2. A empresa contratada deverá se localizar a u</w:t>
      </w:r>
      <w:r>
        <w:rPr>
          <w:rFonts w:eastAsia="Arial" w:cs="Times New Roman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>ma distância</w:t>
      </w:r>
      <w:r>
        <w:rPr>
          <w:rFonts w:eastAsia="Arial" w:cs="Times New Roman" w:ascii="Verdana" w:hAnsi="Verdana"/>
          <w:b/>
          <w:bCs/>
          <w:sz w:val="20"/>
          <w:szCs w:val="20"/>
          <w:shd w:fill="auto" w:val="clear"/>
        </w:rPr>
        <w:t xml:space="preserve"> de no máximo 100 quilômetros do município de São Gabriel da Palha Es.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10.3 </w:t>
      </w:r>
      <w:r>
        <w:rPr>
          <w:rFonts w:cs="Arial" w:ascii="Verdana" w:hAnsi="Verdana"/>
          <w:sz w:val="20"/>
          <w:szCs w:val="20"/>
        </w:rPr>
        <w:t>A contratação para a contratação da prestação de serviços deverá obedecer, no que couber, ao disposto na Lei n.º 14.133/2021 e suas alterações e o decreto</w:t>
      </w:r>
      <w:r>
        <w:rPr>
          <w:rFonts w:cs="Arial" w:ascii="Verdana" w:hAnsi="Verdana"/>
          <w:sz w:val="20"/>
          <w:szCs w:val="20"/>
          <w:shd w:fill="auto" w:val="clear"/>
        </w:rPr>
        <w:t xml:space="preserve"> Nº 3287/2022.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10.3. Definição e justificativa de caracterização do objeto e prazos da contratação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10.3.1. </w:t>
      </w:r>
      <w:r>
        <w:rPr>
          <w:rFonts w:cs="Arial" w:ascii="Verdana" w:hAnsi="Verdana"/>
          <w:sz w:val="20"/>
          <w:szCs w:val="20"/>
        </w:rPr>
        <w:t xml:space="preserve">A demanda a ser </w:t>
      </w:r>
      <w:r>
        <w:rPr>
          <w:rFonts w:eastAsia="Arial" w:cs="Times New Roman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contratada é de empresa especializada para serviços de aferição e manutenção de tacógrafos com fornecimento de peças, se necessário, para manutenção de tacógrafos dos veículos da frota da Secretaria Municipal de Educação, para obtenção do Certificado de Verificação, válido por 2 (dois) anos.</w:t>
      </w:r>
      <w:r>
        <w:rPr>
          <w:rFonts w:cs="Arial" w:ascii="Verdana" w:hAnsi="Verdana"/>
          <w:bCs/>
          <w:sz w:val="20"/>
          <w:szCs w:val="20"/>
        </w:rPr>
        <w:t xml:space="preserve"> por </w:t>
      </w:r>
      <w:r>
        <w:rPr>
          <w:rFonts w:cs="Arial" w:ascii="Verdana" w:hAnsi="Verdana"/>
          <w:b/>
          <w:bCs/>
          <w:sz w:val="20"/>
          <w:szCs w:val="20"/>
        </w:rPr>
        <w:t xml:space="preserve">um período de </w:t>
      </w:r>
      <w:r>
        <w:rPr>
          <w:rFonts w:eastAsia="Times New Roman" w:cs="Arial" w:ascii="Verdana" w:hAnsi="Verdana"/>
          <w:b/>
          <w:bCs/>
          <w:color w:val="auto"/>
          <w:kern w:val="0"/>
          <w:sz w:val="20"/>
          <w:szCs w:val="20"/>
          <w:lang w:val="pt-BR" w:eastAsia="zh-CN" w:bidi="ar-SA"/>
        </w:rPr>
        <w:t>60</w:t>
      </w:r>
      <w:r>
        <w:rPr>
          <w:rFonts w:cs="Arial" w:ascii="Verdana" w:hAnsi="Verdana"/>
          <w:b/>
          <w:bCs/>
          <w:sz w:val="20"/>
          <w:szCs w:val="20"/>
        </w:rPr>
        <w:t xml:space="preserve"> (</w:t>
      </w:r>
      <w:r>
        <w:rPr>
          <w:rFonts w:eastAsia="Times New Roman" w:cs="Arial" w:ascii="Verdana" w:hAnsi="Verdana"/>
          <w:b/>
          <w:bCs/>
          <w:color w:val="auto"/>
          <w:kern w:val="0"/>
          <w:sz w:val="20"/>
          <w:szCs w:val="20"/>
          <w:lang w:val="pt-BR" w:eastAsia="zh-CN" w:bidi="ar-SA"/>
        </w:rPr>
        <w:t>sessenta</w:t>
      </w:r>
      <w:r>
        <w:rPr>
          <w:rFonts w:cs="Arial" w:ascii="Verdana" w:hAnsi="Verdana"/>
          <w:b/>
          <w:bCs/>
          <w:sz w:val="20"/>
          <w:szCs w:val="20"/>
        </w:rPr>
        <w:t>) meses</w:t>
      </w:r>
      <w:r>
        <w:rPr>
          <w:rFonts w:cs="Arial" w:ascii="Verdana" w:hAnsi="Verdana"/>
          <w:bCs/>
          <w:sz w:val="20"/>
          <w:szCs w:val="20"/>
        </w:rPr>
        <w:t>, conforme quantidades e especificações constantes definidas no Projeto Básico.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11. ESTIMATIVA DO VALOR DA CONTRATAÇÃO:</w:t>
      </w:r>
    </w:p>
    <w:p>
      <w:pPr>
        <w:pStyle w:val="Normal"/>
        <w:suppressAutoHyphens w:val="false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 xml:space="preserve">11.1 </w:t>
      </w:r>
      <w:r>
        <w:rPr>
          <w:rFonts w:cs="Arial" w:ascii="Verdana" w:hAnsi="Verdana"/>
          <w:sz w:val="20"/>
          <w:szCs w:val="20"/>
          <w:shd w:fill="auto" w:val="clear"/>
        </w:rPr>
        <w:t xml:space="preserve">O valor global estimado da contratação é de R$ 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55.970,00</w:t>
      </w: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, </w:t>
      </w:r>
      <w:r>
        <w:rPr>
          <w:rFonts w:cs="Arial" w:ascii="Verdana" w:hAnsi="Verdana"/>
          <w:sz w:val="20"/>
          <w:szCs w:val="20"/>
          <w:shd w:fill="auto" w:val="clear"/>
        </w:rPr>
        <w:t xml:space="preserve">constante no item 8.1 deste Estudo Técnico Preliminar. 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A</w:t>
      </w:r>
      <w:r>
        <w:rPr>
          <w:rFonts w:cs="Arial" w:ascii="Verdana" w:hAnsi="Verdana"/>
          <w:sz w:val="20"/>
          <w:szCs w:val="20"/>
          <w:shd w:fill="auto" w:val="clear"/>
        </w:rPr>
        <w:t xml:space="preserve"> presente estimativa do valor da contratação foi realizada através 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da última contratação dos serviços.</w:t>
      </w:r>
    </w:p>
    <w:p>
      <w:pPr>
        <w:pStyle w:val="Normal"/>
        <w:suppressAutoHyphens w:val="false"/>
        <w:spacing w:lineRule="auto" w:line="276" w:before="57" w:after="57"/>
        <w:ind w:right="0"/>
        <w:jc w:val="both"/>
        <w:rPr>
          <w:rFonts w:ascii="Verdana" w:hAnsi="Verdana" w:cs="Arial"/>
          <w:b/>
          <w:color w:val="0000FF"/>
          <w:sz w:val="20"/>
          <w:szCs w:val="20"/>
        </w:rPr>
      </w:pPr>
      <w:r>
        <w:rPr>
          <w:rFonts w:cs="Arial" w:ascii="Verdana" w:hAnsi="Verdana"/>
          <w:b/>
          <w:color w:val="0000FF"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12. JUSTIFICATIVA PARA O PARCELAMENTO OU NÃO DA SOLUÇÃO</w:t>
      </w:r>
    </w:p>
    <w:p>
      <w:pPr>
        <w:pStyle w:val="Normal"/>
        <w:spacing w:lineRule="auto" w:line="276" w:before="57" w:after="57"/>
        <w:ind w:hanging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12.1.</w:t>
      </w:r>
      <w:r>
        <w:rPr>
          <w:rFonts w:cs="Arial" w:ascii="Verdana" w:hAnsi="Verdana"/>
          <w:sz w:val="20"/>
          <w:szCs w:val="20"/>
        </w:rPr>
        <w:t xml:space="preserve"> O objeto da contratação será composto por 2 itens, de preço total orçado pela administração no valor</w:t>
      </w:r>
      <w:r>
        <w:rPr>
          <w:rFonts w:eastAsia="Arial" w:cs="Arial" w:ascii="Verdana" w:hAnsi="Verdana"/>
          <w:b/>
          <w:sz w:val="20"/>
          <w:szCs w:val="20"/>
        </w:rPr>
        <w:t xml:space="preserve"> </w:t>
      </w:r>
      <w:r>
        <w:rPr>
          <w:rFonts w:eastAsia="Arial" w:cs="Arial" w:ascii="Verdana" w:hAnsi="Verdana"/>
          <w:b/>
          <w:sz w:val="20"/>
          <w:szCs w:val="20"/>
          <w:shd w:fill="auto" w:val="clear"/>
        </w:rPr>
        <w:t xml:space="preserve">R$ </w:t>
      </w:r>
      <w:r>
        <w:rPr>
          <w:rFonts w:eastAsia="Times New Roman" w:cs="Times New Roman" w:ascii="Verdana" w:hAnsi="Verdana"/>
          <w:b/>
          <w:color w:val="000000"/>
          <w:kern w:val="0"/>
          <w:sz w:val="20"/>
          <w:szCs w:val="20"/>
          <w:shd w:fill="auto" w:val="clear"/>
          <w:lang w:val="pt-BR" w:eastAsia="zh-CN" w:bidi="ar-SA"/>
        </w:rPr>
        <w:t>55.970,00</w:t>
      </w:r>
      <w:r>
        <w:rPr>
          <w:rFonts w:eastAsia="Times New Roman" w:cs="Arial" w:ascii="Verdana" w:hAnsi="Verdana"/>
          <w:b/>
          <w:color w:val="000000"/>
          <w:kern w:val="0"/>
          <w:sz w:val="20"/>
          <w:szCs w:val="20"/>
          <w:shd w:fill="auto" w:val="clear"/>
          <w:lang w:val="pt-BR" w:eastAsia="zh-CN" w:bidi="ar-SA"/>
        </w:rPr>
        <w:t>.</w:t>
      </w:r>
      <w:r>
        <w:rPr>
          <w:rFonts w:eastAsia="Arial" w:cs="Arial" w:ascii="Verdana" w:hAnsi="Verdana"/>
          <w:b/>
          <w:bCs/>
          <w:sz w:val="20"/>
          <w:szCs w:val="20"/>
          <w:shd w:fill="auto" w:val="clear"/>
        </w:rPr>
        <w:t xml:space="preserve"> 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 xml:space="preserve">Para fins de classificação, será considerado o </w:t>
      </w:r>
      <w:r>
        <w:rPr>
          <w:rFonts w:eastAsia="Arial" w:cs="Arial" w:ascii="Verdana" w:hAnsi="Verdana"/>
          <w:b/>
          <w:bCs w:val="false"/>
          <w:sz w:val="20"/>
          <w:szCs w:val="20"/>
          <w:shd w:fill="auto" w:val="clear"/>
        </w:rPr>
        <w:t xml:space="preserve">menor preço por </w:t>
      </w:r>
      <w:r>
        <w:rPr>
          <w:rFonts w:eastAsia="Arial" w:cs="Arial" w:ascii="Verdana" w:hAnsi="Verdana"/>
          <w:b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lote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>. Compete à administração buscar o menor dispêndio possível de recursos, assegurando a qualidade da prestação do serviço, o que exige a escolha da solução mais adequada e eficiente dentre as diversas opções existentes já por ocasião da definição do objeto e das condições da contratação, posto que seja essa descrição que impulsiona a seleção da proposta mais vantajosa.</w:t>
      </w:r>
    </w:p>
    <w:p>
      <w:pPr>
        <w:pStyle w:val="Normal"/>
        <w:spacing w:lineRule="auto" w:line="276" w:before="57" w:after="57"/>
        <w:ind w:hanging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  <w:shd w:fill="auto" w:val="clear"/>
        </w:rPr>
        <w:t>12.2.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 xml:space="preserve"> A contratação por lote</w:t>
      </w:r>
      <w:r>
        <w:rPr>
          <w:rFonts w:eastAsia="Arial" w:cs="Times New Roman" w:ascii="Verdana" w:hAnsi="Verdana"/>
          <w:b/>
          <w:bCs/>
          <w:sz w:val="20"/>
          <w:szCs w:val="20"/>
          <w:shd w:fill="auto" w:val="clear"/>
        </w:rPr>
        <w:t xml:space="preserve"> </w:t>
      </w:r>
      <w:r>
        <w:rPr>
          <w:rFonts w:eastAsia="Arial" w:cs="Times New Roman" w:ascii="Verdana" w:hAnsi="Verdana"/>
          <w:b w:val="false"/>
          <w:bCs w:val="false"/>
          <w:sz w:val="20"/>
          <w:szCs w:val="20"/>
          <w:shd w:fill="auto" w:val="clear"/>
        </w:rPr>
        <w:t>se torna economicamente viável que a prestação de serviços e reposição de peças sejam efetuadas pela mesma empresa, visto que, a administração terá economia de combustível, diárias e desgaste dos veículos, sendo assim mais vantajoso para o município que os serviços sejam executados de uma só vez;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 w:cs="Arial"/>
          <w:b/>
          <w:color w:val="0000FF"/>
          <w:sz w:val="20"/>
          <w:szCs w:val="20"/>
        </w:rPr>
      </w:pPr>
      <w:r>
        <w:rPr>
          <w:rFonts w:cs="Arial" w:ascii="Verdana" w:hAnsi="Verdana"/>
          <w:b/>
          <w:color w:val="0000FF"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13. CONTRATAÇÕES CORRELATAS E/OU INTERDEPENDENTES</w:t>
      </w:r>
    </w:p>
    <w:p>
      <w:pPr>
        <w:pStyle w:val="Normal"/>
        <w:suppressAutoHyphens w:val="false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13.1.</w:t>
      </w:r>
      <w:r>
        <w:rPr>
          <w:rFonts w:cs="Arial" w:ascii="Verdana" w:hAnsi="Verdana"/>
          <w:sz w:val="20"/>
          <w:szCs w:val="20"/>
        </w:rPr>
        <w:t xml:space="preserve"> Não se verifica contratações correlatas ou interdependentes para a viabilidade e contratação desta demanda.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14. RESULTADOS PRETENDIDOS COM A CONTRATAÇÃO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14.1</w:t>
      </w:r>
      <w:r>
        <w:rPr>
          <w:rFonts w:cs="Arial" w:ascii="Verdana" w:hAnsi="Verdana"/>
          <w:sz w:val="20"/>
          <w:szCs w:val="20"/>
        </w:rPr>
        <w:t xml:space="preserve"> Com a aquisição pretendida, buscaremos suprir as necessidades da Secretaria Municipal de 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zh-CN" w:bidi="ar-SA"/>
        </w:rPr>
        <w:t>Educação e atender de forma mais adequada os estudantes da Rede Municipal e Estadual de Ensino.</w:t>
      </w:r>
      <w:r>
        <w:rPr>
          <w:rFonts w:cs="Arial" w:ascii="Verdana" w:hAnsi="Verdana"/>
          <w:sz w:val="20"/>
          <w:szCs w:val="20"/>
        </w:rPr>
        <w:t xml:space="preserve"> O quantitativo será suficiente para suprir a demanda desta Secretaria.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15. PROVIDÊNCIAS A SEREM ADOTADAS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15.1 Recursos materiais e humanos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15.1.1.</w:t>
      </w:r>
      <w:r>
        <w:rPr>
          <w:rFonts w:cs="Arial" w:ascii="Verdana" w:hAnsi="Verdana"/>
          <w:sz w:val="20"/>
          <w:szCs w:val="20"/>
        </w:rPr>
        <w:t xml:space="preserve"> Além da Equipe de Gestão do Contrato, as Secretarias envolvidas disponibilizarão recursos materiais e humanos, para acompanhamento dos contratos e da prestação dos serviços pela contratada.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15.2.</w:t>
      </w:r>
      <w:r>
        <w:rPr>
          <w:rFonts w:cs="Arial" w:ascii="Verdana" w:hAnsi="Verdana"/>
          <w:sz w:val="20"/>
          <w:szCs w:val="20"/>
        </w:rPr>
        <w:t xml:space="preserve"> As secretarias envolvidas na contratação deverão acompanhar, fiscalizar, comprovar e relatar, por escrito, as eventuais irregularidades na execução dos serviços, através dos Fiscais de Contrato </w:t>
      </w:r>
      <w:r>
        <w:rPr>
          <w:rFonts w:cs="Times New Roman" w:ascii="Verdana" w:hAnsi="Verdana"/>
          <w:sz w:val="20"/>
          <w:szCs w:val="20"/>
        </w:rPr>
        <w:t>(Técnicos e Administrativos)</w:t>
      </w:r>
      <w:r>
        <w:rPr>
          <w:rFonts w:cs="Arial" w:ascii="Verdana" w:hAnsi="Verdana"/>
          <w:sz w:val="20"/>
          <w:szCs w:val="20"/>
        </w:rPr>
        <w:t>. Deveram ser nomeados quantidade de fiscais suficientes para um efetivo acompanhamento da execução do contrato, devendo ter Fiscal Técnico e Fiscal Administrativo (contrato).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15.3 Descontinuidades do Fornecimento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 xml:space="preserve">15.3.1. </w:t>
      </w:r>
      <w:r>
        <w:rPr>
          <w:rFonts w:cs="Arial" w:ascii="Verdana" w:hAnsi="Verdana"/>
          <w:sz w:val="20"/>
          <w:szCs w:val="20"/>
        </w:rPr>
        <w:t xml:space="preserve">No caso de descontinuidade e/ou paralisação, o gestor do contrato tomará as providências cabíveis, de acordo com cláusulas do edital e contrato, visando sanar problemas por ventura ocorridos. 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16. POSSÍVEIS IMPACTOS AMBIENTAIS</w:t>
      </w:r>
    </w:p>
    <w:p>
      <w:pPr>
        <w:pStyle w:val="Normal"/>
        <w:widowControl/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 xml:space="preserve">16.1 </w:t>
      </w:r>
      <w:r>
        <w:rPr>
          <w:rFonts w:cs="Arial" w:ascii="Verdana" w:hAnsi="Verdana"/>
          <w:sz w:val="20"/>
          <w:szCs w:val="20"/>
        </w:rPr>
        <w:t>Não haverá danos ao meio ambiente uma vez que os serviços não gerará tal problema</w:t>
      </w:r>
      <w:r>
        <w:rPr>
          <w:rFonts w:cs="Arial" w:ascii="Verdana" w:hAnsi="Verdana"/>
          <w:b/>
          <w:sz w:val="20"/>
          <w:szCs w:val="20"/>
        </w:rPr>
        <w:t>.</w:t>
      </w:r>
      <w:r>
        <w:rPr>
          <w:rFonts w:cs="Arial" w:ascii="Verdana" w:hAnsi="Verdana"/>
          <w:sz w:val="20"/>
          <w:szCs w:val="20"/>
        </w:rPr>
        <w:t xml:space="preserve"> </w:t>
      </w:r>
    </w:p>
    <w:p>
      <w:pPr>
        <w:pStyle w:val="Normal"/>
        <w:widowControl/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17. DECLARAÇÕES DE VIABILIDADE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17.1</w:t>
      </w:r>
      <w:r>
        <w:rPr>
          <w:rFonts w:cs="Arial" w:ascii="Verdana" w:hAnsi="Verdana"/>
          <w:sz w:val="20"/>
          <w:szCs w:val="20"/>
        </w:rPr>
        <w:t xml:space="preserve"> </w:t>
      </w:r>
      <w:r>
        <w:rPr>
          <w:rFonts w:cs="Arial" w:ascii="Verdana" w:hAnsi="Verdana"/>
          <w:sz w:val="20"/>
          <w:szCs w:val="20"/>
        </w:rPr>
        <w:t xml:space="preserve">A equipe de planejamento deste ETP e de acordo com a autoridade deste requerente, declara viável esta contratação. 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18. JUSTIFICATIVAS DA VIABILIDADE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O</w:t>
      </w:r>
      <w:r>
        <w:rPr>
          <w:rFonts w:cs="Times New Roman" w:ascii="Verdana" w:hAnsi="Verdana"/>
          <w:b w:val="false"/>
          <w:bCs w:val="false"/>
          <w:sz w:val="20"/>
          <w:szCs w:val="20"/>
        </w:rPr>
        <w:t xml:space="preserve"> Cronotacógrafo é um instrumento de uso obrigatório pelo Código de Trânsito Brasileiro – CTB para veículos de transporte e de condução escolar, transporte de passageiros com mais de dez lugares e os de carga com peso bruto total superior a 4.536 toneladas;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>Ess</w:t>
      </w:r>
      <w:r>
        <w:rPr>
          <w:rFonts w:eastAsia="Times New Roman" w:cs="Times New Roman" w:ascii="Verdana" w:hAnsi="Verdana"/>
          <w:b w:val="false"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>e</w:t>
      </w:r>
      <w:r>
        <w:rPr>
          <w:rFonts w:eastAsia="Times New Roman" w:cs="Times New Roman" w:ascii="Verdana" w:hAnsi="Verdana"/>
          <w:b w:val="false"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 instrumento tem o objetivo de indicar e registrar a velocidade e a distância percorrida no tempo de direção no veículo em que está instalado, permitindo determinar o tempo de direção e de parada dos condutores, e, além disso, permite a reconstituição e a elaboração de laudos técnicos em caso de acidente com produção de provas aceitas legalmente;</w:t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right="0"/>
        <w:jc w:val="right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 xml:space="preserve">São Gabriel da Palha, 17 de 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zh-CN" w:bidi="ar-SA"/>
        </w:rPr>
        <w:t>janeiro</w:t>
      </w:r>
      <w:r>
        <w:rPr>
          <w:rFonts w:cs="Arial" w:ascii="Verdana" w:hAnsi="Verdana"/>
          <w:sz w:val="20"/>
          <w:szCs w:val="20"/>
        </w:rPr>
        <w:t xml:space="preserve"> de 2024. </w:t>
      </w:r>
    </w:p>
    <w:p>
      <w:pPr>
        <w:pStyle w:val="Normal"/>
        <w:suppressAutoHyphens w:val="false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15. RESPONSÁVEIS</w:t>
      </w:r>
    </w:p>
    <w:p>
      <w:pPr>
        <w:pStyle w:val="Normal"/>
        <w:suppressAutoHyphens w:val="false"/>
        <w:spacing w:lineRule="auto" w:line="276" w:before="57" w:after="57"/>
        <w:ind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sectPr>
          <w:headerReference w:type="default" r:id="rId2"/>
          <w:footerReference w:type="default" r:id="rId3"/>
          <w:type w:val="nextPage"/>
          <w:pgSz w:w="11906" w:h="16838"/>
          <w:pgMar w:left="1080" w:right="1080" w:gutter="0" w:header="708" w:top="1440" w:footer="417" w:bottom="990"/>
          <w:pgNumType w:fmt="decimal"/>
          <w:formProt w:val="false"/>
          <w:textDirection w:val="lrTb"/>
          <w:docGrid w:type="default" w:linePitch="360" w:charSpace="819"/>
        </w:sectPr>
      </w:pPr>
    </w:p>
    <w:p>
      <w:pPr>
        <w:pStyle w:val="Normal"/>
        <w:suppressAutoHyphens w:val="false"/>
        <w:spacing w:lineRule="auto" w:line="276" w:before="57" w:after="57"/>
        <w:ind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15.1. Elaborado por:</w:t>
      </w:r>
    </w:p>
    <w:p>
      <w:pPr>
        <w:pStyle w:val="Normal"/>
        <w:suppressAutoHyphens w:val="false"/>
        <w:spacing w:lineRule="auto" w:line="276" w:before="57" w:after="57"/>
        <w:ind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76" w:before="57" w:after="57"/>
        <w:ind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76" w:before="0" w:after="0"/>
        <w:ind w:right="0"/>
        <w:jc w:val="center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/>
          <w:color w:val="auto"/>
          <w:kern w:val="0"/>
          <w:sz w:val="20"/>
          <w:szCs w:val="20"/>
          <w:lang w:val="pt-BR" w:eastAsia="zh-CN" w:bidi="ar-SA"/>
        </w:rPr>
        <w:t>Ana Paula dos Santos Dumer</w:t>
      </w:r>
    </w:p>
    <w:p>
      <w:pPr>
        <w:pStyle w:val="Normal"/>
        <w:spacing w:lineRule="auto" w:line="276" w:before="0" w:after="0"/>
        <w:ind w:right="0"/>
        <w:jc w:val="center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Assistente Administrativo</w:t>
      </w:r>
    </w:p>
    <w:p>
      <w:pPr>
        <w:pStyle w:val="Normal"/>
        <w:spacing w:lineRule="auto" w:line="276" w:before="0" w:after="0"/>
        <w:ind w:right="0"/>
        <w:jc w:val="center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 xml:space="preserve">Mat. nº 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zh-CN" w:bidi="ar-SA"/>
        </w:rPr>
        <w:t>6462</w:t>
      </w:r>
    </w:p>
    <w:p>
      <w:pPr>
        <w:pStyle w:val="Normal"/>
        <w:spacing w:lineRule="auto" w:line="276" w:before="57" w:after="57"/>
        <w:ind w:right="0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right="0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15.2. Autorizado por:</w:t>
      </w:r>
    </w:p>
    <w:p>
      <w:pPr>
        <w:pStyle w:val="Normal"/>
        <w:spacing w:lineRule="auto" w:line="276" w:before="57" w:after="57"/>
        <w:ind w:right="0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right="0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76" w:before="0" w:after="0"/>
        <w:ind w:right="0"/>
        <w:jc w:val="center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/>
          <w:color w:val="auto"/>
          <w:kern w:val="0"/>
          <w:sz w:val="20"/>
          <w:szCs w:val="20"/>
          <w:lang w:val="pt-BR" w:eastAsia="zh-CN" w:bidi="ar-SA"/>
        </w:rPr>
        <w:t>Marlene Silva Teixeira de Souza</w:t>
      </w:r>
    </w:p>
    <w:p>
      <w:pPr>
        <w:pStyle w:val="Normal"/>
        <w:spacing w:lineRule="auto" w:line="276" w:before="0" w:after="0"/>
        <w:ind w:right="0"/>
        <w:jc w:val="center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Secretária Municipal de Educação</w:t>
      </w:r>
    </w:p>
    <w:p>
      <w:pPr>
        <w:pStyle w:val="Normal"/>
        <w:widowControl w:val="false"/>
        <w:shd w:val="clear" w:fill="auto"/>
        <w:tabs>
          <w:tab w:val="clear" w:pos="720"/>
          <w:tab w:val="left" w:pos="0" w:leader="none"/>
        </w:tabs>
        <w:suppressAutoHyphens w:val="true"/>
        <w:overflowPunct w:val="true"/>
        <w:bidi w:val="0"/>
        <w:spacing w:lineRule="auto" w:line="276" w:before="0" w:after="0"/>
        <w:ind w:hanging="0" w:left="0" w:right="0"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sz w:val="20"/>
          <w:szCs w:val="20"/>
        </w:rPr>
        <w:t xml:space="preserve">Decreto nº </w:t>
      </w:r>
      <w:r>
        <w:rPr>
          <w:rFonts w:eastAsia="Arial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2041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>/2021</w:t>
      </w:r>
    </w:p>
    <w:p>
      <w:pPr>
        <w:sectPr>
          <w:type w:val="continuous"/>
          <w:pgSz w:w="11906" w:h="16838"/>
          <w:pgMar w:left="1080" w:right="1080" w:gutter="0" w:header="708" w:top="1440" w:footer="417" w:bottom="990"/>
          <w:cols w:num="2" w:space="282" w:equalWidth="true" w:sep="false"/>
          <w:formProt w:val="false"/>
          <w:textDirection w:val="lrTb"/>
          <w:docGrid w:type="default" w:linePitch="360" w:charSpace="819"/>
        </w:sectPr>
      </w:pPr>
    </w:p>
    <w:sectPr>
      <w:type w:val="continuous"/>
      <w:pgSz w:w="11906" w:h="16838"/>
      <w:pgMar w:left="1080" w:right="1080" w:gutter="0" w:header="708" w:top="1440" w:footer="417" w:bottom="990"/>
      <w:pgNumType w:fmt="decimal"/>
      <w:formProt w:val="false"/>
      <w:textDirection w:val="lrTb"/>
      <w:docGrid w:type="default" w:linePitch="360" w:charSpace="81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IPMDOI+TimesNewRoman">
    <w:charset w:val="00"/>
    <w:family w:val="roman"/>
    <w:pitch w:val="variable"/>
  </w:font>
  <w:font w:name="Courier New">
    <w:charset w:val="00"/>
    <w:family w:val="roman"/>
    <w:pitch w:val="variable"/>
  </w:font>
  <w:font w:name="Univers 45 Light">
    <w:charset w:val="00"/>
    <w:family w:val="roman"/>
    <w:pitch w:val="variable"/>
  </w:font>
  <w:font w:name="Verdana">
    <w:charset w:val="01"/>
    <w:family w:val="swiss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Verdana" w:hAnsi="Verdana"/>
        <w:sz w:val="16"/>
        <w:szCs w:val="16"/>
      </w:rPr>
    </w:pPr>
    <w:r>
      <w:rPr>
        <w:rFonts w:cs="Calibri" w:ascii="Verdana" w:hAnsi="Verdana"/>
        <w:b/>
        <w:bCs/>
        <w:sz w:val="16"/>
        <w:szCs w:val="16"/>
      </w:rPr>
      <w:t>Praça Vicente Glazar nº 159, Centro, São Gabriel da Palha, ES. CEP. 29.780-000.</w:t>
    </w:r>
  </w:p>
  <w:p>
    <w:pPr>
      <w:pStyle w:val="Header"/>
      <w:jc w:val="center"/>
      <w:rPr>
        <w:rFonts w:ascii="Verdana" w:hAnsi="Verdana"/>
        <w:sz w:val="16"/>
        <w:szCs w:val="16"/>
      </w:rPr>
    </w:pPr>
    <w:r>
      <w:rPr>
        <w:rFonts w:cs="Times New Roman" w:ascii="Verdana" w:hAnsi="Verdana"/>
        <w:b/>
        <w:bCs/>
        <w:sz w:val="16"/>
        <w:szCs w:val="16"/>
      </w:rPr>
      <w:t>Telefax 0(xx) 27 3727-1366.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1" distT="0" distB="0" distL="152400" distR="120015" simplePos="0" locked="0" layoutInCell="0" allowOverlap="1" relativeHeight="2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Imagem 1 C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 Copia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 xml:space="preserve">Secretaria Municipal de </w:t>
    </w:r>
    <w:r>
      <w:rPr>
        <w:rFonts w:eastAsia="Times New Roman" w:cs="Arial Narrow" w:ascii="Arial Narrow" w:hAnsi="Arial Narrow"/>
        <w:b/>
        <w:color w:val="auto"/>
        <w:kern w:val="0"/>
        <w:sz w:val="22"/>
        <w:szCs w:val="22"/>
        <w:lang w:val="pt-BR" w:eastAsia="zh-CN" w:bidi="ar-SA"/>
      </w:rPr>
      <w:t>Educação</w:t>
    </w:r>
  </w:p>
  <w:p>
    <w:pPr>
      <w:pStyle w:val="Header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semiHidden="0" w:unhideWhenUsed="0" w:qFormat="1"/>
    <w:lsdException w:name="heading 3" w:uiPriority="0" w:semiHidden="0" w:unhideWhenUsed="0" w:qFormat="1"/>
    <w:lsdException w:name="heading 4" w:uiPriority="0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semiHidden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semiHidden="0" w:unhideWhenUsed="0" w:qFormat="1"/>
    <w:lsdException w:name="page number" w:uiPriority="0"/>
    <w:lsdException w:name="List" w:uiPriority="0"/>
    <w:lsdException w:name="Title" w:uiPriority="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Balloon Tex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3213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zh-CN" w:bidi="ar-SA"/>
    </w:rPr>
  </w:style>
  <w:style w:type="paragraph" w:styleId="Heading1">
    <w:name w:val="Heading 1"/>
    <w:basedOn w:val="Normal"/>
    <w:next w:val="Normal"/>
    <w:link w:val="Ttulo1Char"/>
    <w:qFormat/>
    <w:rsid w:val="00832132"/>
    <w:pPr>
      <w:keepNext w:val="true"/>
      <w:tabs>
        <w:tab w:val="clear" w:pos="720"/>
        <w:tab w:val="left" w:pos="0" w:leader="none"/>
      </w:tabs>
      <w:overflowPunct w:val="true"/>
      <w:ind w:hanging="432" w:left="432"/>
      <w:jc w:val="center"/>
      <w:textAlignment w:val="baseline"/>
      <w:outlineLvl w:val="0"/>
    </w:pPr>
    <w:rPr>
      <w:b/>
      <w:bCs/>
      <w:sz w:val="24"/>
    </w:rPr>
  </w:style>
  <w:style w:type="paragraph" w:styleId="Heading2">
    <w:name w:val="Heading 2"/>
    <w:basedOn w:val="Normal"/>
    <w:next w:val="Normal"/>
    <w:link w:val="Ttulo2Char"/>
    <w:qFormat/>
    <w:rsid w:val="00832132"/>
    <w:pPr>
      <w:keepNext w:val="true"/>
      <w:tabs>
        <w:tab w:val="clear" w:pos="720"/>
        <w:tab w:val="left" w:pos="0" w:leader="none"/>
      </w:tabs>
      <w:ind w:hanging="576" w:left="576"/>
      <w:outlineLvl w:val="1"/>
    </w:pPr>
    <w:rPr>
      <w:b/>
      <w:bCs/>
      <w:sz w:val="24"/>
      <w:u w:val="single"/>
    </w:rPr>
  </w:style>
  <w:style w:type="paragraph" w:styleId="Heading3">
    <w:name w:val="Heading 3"/>
    <w:basedOn w:val="Normal"/>
    <w:next w:val="Normal"/>
    <w:qFormat/>
    <w:rsid w:val="00832132"/>
    <w:pPr>
      <w:keepNext w:val="true"/>
      <w:suppressAutoHyphens w:val="false"/>
      <w:jc w:val="both"/>
      <w:outlineLvl w:val="2"/>
    </w:pPr>
    <w:rPr>
      <w:b/>
      <w:color w:val="00000A"/>
    </w:rPr>
  </w:style>
  <w:style w:type="paragraph" w:styleId="Heading4">
    <w:name w:val="Heading 4"/>
    <w:basedOn w:val="Normal"/>
    <w:next w:val="Normal"/>
    <w:link w:val="Ttulo4Char"/>
    <w:qFormat/>
    <w:rsid w:val="00832132"/>
    <w:pPr>
      <w:keepNext w:val="true"/>
      <w:tabs>
        <w:tab w:val="clear" w:pos="720"/>
        <w:tab w:val="left" w:pos="0" w:leader="none"/>
      </w:tabs>
      <w:ind w:hanging="864" w:left="864"/>
      <w:outlineLvl w:val="3"/>
    </w:pPr>
    <w:rPr>
      <w:sz w:val="24"/>
    </w:rPr>
  </w:style>
  <w:style w:type="paragraph" w:styleId="Heading8">
    <w:name w:val="Heading 8"/>
    <w:basedOn w:val="Normal"/>
    <w:next w:val="Normal"/>
    <w:qFormat/>
    <w:rsid w:val="00832132"/>
    <w:pPr>
      <w:tabs>
        <w:tab w:val="clear" w:pos="720"/>
        <w:tab w:val="left" w:pos="0" w:leader="none"/>
      </w:tabs>
      <w:spacing w:before="240" w:after="60"/>
      <w:ind w:hanging="1440" w:left="1440"/>
      <w:outlineLvl w:val="7"/>
    </w:pPr>
    <w:rPr>
      <w:i/>
      <w:i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832132"/>
    <w:rPr>
      <w:rFonts w:ascii="Symbol" w:hAnsi="Symbol" w:eastAsia="Times New Roman" w:cs="Times New Roman"/>
    </w:rPr>
  </w:style>
  <w:style w:type="character" w:styleId="WW8Num1z1" w:customStyle="1">
    <w:name w:val="WW8Num1z1"/>
    <w:qFormat/>
    <w:rsid w:val="00832132"/>
    <w:rPr>
      <w:rFonts w:ascii="Times New Roman" w:hAnsi="Times New Roman" w:cs="Courier New"/>
      <w:b/>
      <w:bCs/>
    </w:rPr>
  </w:style>
  <w:style w:type="character" w:styleId="WW8Num1z2" w:customStyle="1">
    <w:name w:val="WW8Num1z2"/>
    <w:qFormat/>
    <w:rsid w:val="00832132"/>
    <w:rPr/>
  </w:style>
  <w:style w:type="character" w:styleId="WW8Num1z3" w:customStyle="1">
    <w:name w:val="WW8Num1z3"/>
    <w:qFormat/>
    <w:rsid w:val="00832132"/>
    <w:rPr>
      <w:rFonts w:ascii="Symbol" w:hAnsi="Symbol" w:cs="Symbol"/>
    </w:rPr>
  </w:style>
  <w:style w:type="character" w:styleId="WW8Num1z4" w:customStyle="1">
    <w:name w:val="WW8Num1z4"/>
    <w:qFormat/>
    <w:rsid w:val="00832132"/>
    <w:rPr/>
  </w:style>
  <w:style w:type="character" w:styleId="WW8Num1z5" w:customStyle="1">
    <w:name w:val="WW8Num1z5"/>
    <w:qFormat/>
    <w:rsid w:val="00832132"/>
    <w:rPr/>
  </w:style>
  <w:style w:type="character" w:styleId="WW8Num1z6" w:customStyle="1">
    <w:name w:val="WW8Num1z6"/>
    <w:qFormat/>
    <w:rsid w:val="00832132"/>
    <w:rPr/>
  </w:style>
  <w:style w:type="character" w:styleId="WW8Num1z7" w:customStyle="1">
    <w:name w:val="WW8Num1z7"/>
    <w:qFormat/>
    <w:rsid w:val="00832132"/>
    <w:rPr/>
  </w:style>
  <w:style w:type="character" w:styleId="WW8Num1z8" w:customStyle="1">
    <w:name w:val="WW8Num1z8"/>
    <w:qFormat/>
    <w:rsid w:val="00832132"/>
    <w:rPr/>
  </w:style>
  <w:style w:type="character" w:styleId="WW8Num2z0" w:customStyle="1">
    <w:name w:val="WW8Num2z0"/>
    <w:qFormat/>
    <w:rsid w:val="00832132"/>
    <w:rPr>
      <w:rFonts w:ascii="Times New Roman" w:hAnsi="Times New Roman" w:cs="Times New Roman"/>
      <w:b/>
      <w:sz w:val="24"/>
    </w:rPr>
  </w:style>
  <w:style w:type="character" w:styleId="WW8Num2z1" w:customStyle="1">
    <w:name w:val="WW8Num2z1"/>
    <w:qFormat/>
    <w:rsid w:val="00832132"/>
    <w:rPr>
      <w:rFonts w:ascii="Times New Roman" w:hAnsi="Times New Roman" w:cs="Times New Roman"/>
      <w:b w:val="false"/>
      <w:sz w:val="24"/>
    </w:rPr>
  </w:style>
  <w:style w:type="character" w:styleId="WW8Num3z0" w:customStyle="1">
    <w:name w:val="WW8Num3z0"/>
    <w:qFormat/>
    <w:rsid w:val="00832132"/>
    <w:rPr>
      <w:vanish/>
    </w:rPr>
  </w:style>
  <w:style w:type="character" w:styleId="Fontepargpadro3" w:customStyle="1">
    <w:name w:val="Fonte parág. padrão3"/>
    <w:qFormat/>
    <w:rsid w:val="00832132"/>
    <w:rPr/>
  </w:style>
  <w:style w:type="character" w:styleId="Fontepargpadro2" w:customStyle="1">
    <w:name w:val="Fonte parág. padrão2"/>
    <w:qFormat/>
    <w:rsid w:val="00832132"/>
    <w:rPr/>
  </w:style>
  <w:style w:type="character" w:styleId="WW8Num4z0" w:customStyle="1">
    <w:name w:val="WW8Num4z0"/>
    <w:qFormat/>
    <w:rsid w:val="00832132"/>
    <w:rPr>
      <w:b/>
    </w:rPr>
  </w:style>
  <w:style w:type="character" w:styleId="WW8Num4z1" w:customStyle="1">
    <w:name w:val="WW8Num4z1"/>
    <w:qFormat/>
    <w:rsid w:val="00832132"/>
    <w:rPr/>
  </w:style>
  <w:style w:type="character" w:styleId="WW8Num4z2" w:customStyle="1">
    <w:name w:val="WW8Num4z2"/>
    <w:qFormat/>
    <w:rsid w:val="00832132"/>
    <w:rPr/>
  </w:style>
  <w:style w:type="character" w:styleId="WW8Num4z3" w:customStyle="1">
    <w:name w:val="WW8Num4z3"/>
    <w:qFormat/>
    <w:rsid w:val="00832132"/>
    <w:rPr/>
  </w:style>
  <w:style w:type="character" w:styleId="WW8Num4z4" w:customStyle="1">
    <w:name w:val="WW8Num4z4"/>
    <w:qFormat/>
    <w:rsid w:val="00832132"/>
    <w:rPr/>
  </w:style>
  <w:style w:type="character" w:styleId="WW8Num4z5" w:customStyle="1">
    <w:name w:val="WW8Num4z5"/>
    <w:qFormat/>
    <w:rsid w:val="00832132"/>
    <w:rPr/>
  </w:style>
  <w:style w:type="character" w:styleId="WW8Num4z6" w:customStyle="1">
    <w:name w:val="WW8Num4z6"/>
    <w:qFormat/>
    <w:rsid w:val="00832132"/>
    <w:rPr/>
  </w:style>
  <w:style w:type="character" w:styleId="WW8Num4z7" w:customStyle="1">
    <w:name w:val="WW8Num4z7"/>
    <w:qFormat/>
    <w:rsid w:val="00832132"/>
    <w:rPr/>
  </w:style>
  <w:style w:type="character" w:styleId="WW8Num4z8" w:customStyle="1">
    <w:name w:val="WW8Num4z8"/>
    <w:qFormat/>
    <w:rsid w:val="00832132"/>
    <w:rPr/>
  </w:style>
  <w:style w:type="character" w:styleId="WW8Num5z0" w:customStyle="1">
    <w:name w:val="WW8Num5z0"/>
    <w:qFormat/>
    <w:rsid w:val="00832132"/>
    <w:rPr/>
  </w:style>
  <w:style w:type="character" w:styleId="WW8Num5z1" w:customStyle="1">
    <w:name w:val="WW8Num5z1"/>
    <w:qFormat/>
    <w:rsid w:val="00832132"/>
    <w:rPr>
      <w:color w:val="auto"/>
      <w:sz w:val="24"/>
      <w:szCs w:val="24"/>
    </w:rPr>
  </w:style>
  <w:style w:type="character" w:styleId="Fontepargpadro1" w:customStyle="1">
    <w:name w:val="Fonte parág. padrão1"/>
    <w:qFormat/>
    <w:rsid w:val="00832132"/>
    <w:rPr/>
  </w:style>
  <w:style w:type="character" w:styleId="CabealhoChar" w:customStyle="1">
    <w:name w:val="Cabeçalho Char"/>
    <w:qFormat/>
    <w:rsid w:val="00832132"/>
    <w:rPr>
      <w:sz w:val="24"/>
    </w:rPr>
  </w:style>
  <w:style w:type="character" w:styleId="RodapChar" w:customStyle="1">
    <w:name w:val="Rodapé Char"/>
    <w:qFormat/>
    <w:rsid w:val="00832132"/>
    <w:rPr>
      <w:sz w:val="24"/>
    </w:rPr>
  </w:style>
  <w:style w:type="character" w:styleId="Pagenumber">
    <w:name w:val="page number"/>
    <w:basedOn w:val="Fontepargpadro1"/>
    <w:qFormat/>
    <w:rsid w:val="00832132"/>
    <w:rPr/>
  </w:style>
  <w:style w:type="character" w:styleId="Hyperlink">
    <w:name w:val="Hyperlink"/>
    <w:rsid w:val="00832132"/>
    <w:rPr>
      <w:color w:val="0000FF"/>
      <w:u w:val="single"/>
    </w:rPr>
  </w:style>
  <w:style w:type="character" w:styleId="Caracteresdenotaderodap" w:customStyle="1">
    <w:name w:val="Caracteres de nota de rodapé"/>
    <w:qFormat/>
    <w:rsid w:val="00832132"/>
    <w:rPr>
      <w:vertAlign w:val="superscript"/>
    </w:rPr>
  </w:style>
  <w:style w:type="character" w:styleId="Corpodetexto3Char" w:customStyle="1">
    <w:name w:val="Corpo de texto 3 Char"/>
    <w:qFormat/>
    <w:rsid w:val="00832132"/>
    <w:rPr>
      <w:sz w:val="16"/>
      <w:szCs w:val="16"/>
    </w:rPr>
  </w:style>
  <w:style w:type="character" w:styleId="Corpodetexto2Char" w:customStyle="1">
    <w:name w:val="Corpo de texto 2 Char"/>
    <w:basedOn w:val="Fontepargpadro1"/>
    <w:qFormat/>
    <w:rsid w:val="00832132"/>
    <w:rPr/>
  </w:style>
  <w:style w:type="character" w:styleId="TextodebaloChar" w:customStyle="1">
    <w:name w:val="Texto de balão Char"/>
    <w:qFormat/>
    <w:rsid w:val="00832132"/>
    <w:rPr>
      <w:rFonts w:ascii="Tahoma" w:hAnsi="Tahoma" w:cs="Tahoma"/>
      <w:sz w:val="16"/>
      <w:szCs w:val="16"/>
    </w:rPr>
  </w:style>
  <w:style w:type="character" w:styleId="Smbolosdenumerao" w:customStyle="1">
    <w:name w:val="Símbolos de numeração"/>
    <w:qFormat/>
    <w:rsid w:val="00832132"/>
    <w:rPr/>
  </w:style>
  <w:style w:type="character" w:styleId="Ttulo3Char" w:customStyle="1">
    <w:name w:val="Título 3 Char"/>
    <w:qFormat/>
    <w:rsid w:val="00832132"/>
    <w:rPr>
      <w:b/>
      <w:color w:val="00000A"/>
    </w:rPr>
  </w:style>
  <w:style w:type="character" w:styleId="Recuodecorpodetexto3Char" w:customStyle="1">
    <w:name w:val="Recuo de corpo de texto 3 Char"/>
    <w:qFormat/>
    <w:rsid w:val="00832132"/>
    <w:rPr>
      <w:sz w:val="16"/>
      <w:szCs w:val="16"/>
    </w:rPr>
  </w:style>
  <w:style w:type="character" w:styleId="Ttulo8Char" w:customStyle="1">
    <w:name w:val="Título 8 Char"/>
    <w:qFormat/>
    <w:rsid w:val="00832132"/>
    <w:rPr>
      <w:i/>
      <w:iCs/>
      <w:sz w:val="24"/>
      <w:szCs w:val="24"/>
      <w:lang w:eastAsia="zh-CN"/>
    </w:rPr>
  </w:style>
  <w:style w:type="character" w:styleId="TtuloChar" w:customStyle="1">
    <w:name w:val="Título Char"/>
    <w:qFormat/>
    <w:rsid w:val="00832132"/>
    <w:rPr>
      <w:rFonts w:ascii="Liberation Sans" w:hAnsi="Liberation Sans" w:eastAsia="Microsoft YaHei" w:cs="Lucida Sans"/>
      <w:color w:val="00000A"/>
      <w:sz w:val="28"/>
      <w:szCs w:val="28"/>
    </w:rPr>
  </w:style>
  <w:style w:type="character" w:styleId="Recuodecorpodetexto3Char1" w:customStyle="1">
    <w:name w:val="Recuo de corpo de texto 3 Char1"/>
    <w:qFormat/>
    <w:rsid w:val="00832132"/>
    <w:rPr>
      <w:sz w:val="16"/>
      <w:szCs w:val="16"/>
      <w:lang w:eastAsia="zh-CN"/>
    </w:rPr>
  </w:style>
  <w:style w:type="character" w:styleId="Ttulo1Char" w:customStyle="1">
    <w:name w:val="Título 1 Char"/>
    <w:qFormat/>
    <w:rsid w:val="0017412d"/>
    <w:rPr>
      <w:b/>
      <w:bCs/>
      <w:sz w:val="24"/>
      <w:lang w:eastAsia="zh-CN"/>
    </w:rPr>
  </w:style>
  <w:style w:type="character" w:styleId="Ttulo2Char" w:customStyle="1">
    <w:name w:val="Título 2 Char"/>
    <w:qFormat/>
    <w:rsid w:val="0017412d"/>
    <w:rPr>
      <w:b/>
      <w:bCs/>
      <w:sz w:val="24"/>
      <w:u w:val="single"/>
      <w:lang w:eastAsia="zh-CN"/>
    </w:rPr>
  </w:style>
  <w:style w:type="character" w:styleId="Ttulo4Char" w:customStyle="1">
    <w:name w:val="Título 4 Char"/>
    <w:qFormat/>
    <w:rsid w:val="0017412d"/>
    <w:rPr>
      <w:sz w:val="24"/>
      <w:lang w:eastAsia="zh-CN"/>
    </w:rPr>
  </w:style>
  <w:style w:type="character" w:styleId="CorpodetextoChar" w:customStyle="1">
    <w:name w:val="Corpo de texto Char"/>
    <w:qFormat/>
    <w:rsid w:val="0017412d"/>
    <w:rPr>
      <w:lang w:eastAsia="zh-CN"/>
    </w:rPr>
  </w:style>
  <w:style w:type="character" w:styleId="CabealhoChar1" w:customStyle="1">
    <w:name w:val="Cabeçalho Char1"/>
    <w:qFormat/>
    <w:rsid w:val="0017412d"/>
    <w:rPr>
      <w:sz w:val="24"/>
      <w:lang w:eastAsia="zh-CN"/>
    </w:rPr>
  </w:style>
  <w:style w:type="character" w:styleId="RodapChar1" w:customStyle="1">
    <w:name w:val="Rodapé Char1"/>
    <w:qFormat/>
    <w:rsid w:val="0017412d"/>
    <w:rPr>
      <w:sz w:val="24"/>
      <w:lang w:eastAsia="zh-CN"/>
    </w:rPr>
  </w:style>
  <w:style w:type="character" w:styleId="TextodebaloChar1" w:customStyle="1">
    <w:name w:val="Texto de balão Char1"/>
    <w:qFormat/>
    <w:rsid w:val="0017412d"/>
    <w:rPr>
      <w:rFonts w:ascii="Tahoma" w:hAnsi="Tahoma" w:cs="Tahoma"/>
      <w:sz w:val="16"/>
      <w:szCs w:val="16"/>
      <w:lang w:eastAsia="zh-CN"/>
    </w:rPr>
  </w:style>
  <w:style w:type="character" w:styleId="TextodenotaderodapChar" w:customStyle="1">
    <w:name w:val="Texto de nota de rodapé Char"/>
    <w:qFormat/>
    <w:rsid w:val="0017412d"/>
    <w:rPr>
      <w:lang w:eastAsia="zh-CN"/>
    </w:rPr>
  </w:style>
  <w:style w:type="character" w:styleId="TtuloChar1" w:customStyle="1">
    <w:name w:val="Título Char1"/>
    <w:link w:val="Ttulo"/>
    <w:qFormat/>
    <w:rsid w:val="0017412d"/>
    <w:rPr>
      <w:rFonts w:ascii="Liberation Sans" w:hAnsi="Liberation Sans" w:eastAsia="Microsoft YaHei" w:cs="Lucida Sans"/>
      <w:color w:val="00000A"/>
      <w:sz w:val="28"/>
      <w:szCs w:val="28"/>
      <w:lang w:eastAsia="zh-CN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cb796f"/>
    <w:rPr>
      <w:vertAlign w:val="superscript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CorpodetextoChar"/>
    <w:rsid w:val="00832132"/>
    <w:pPr>
      <w:spacing w:before="0" w:after="120"/>
    </w:pPr>
    <w:rPr/>
  </w:style>
  <w:style w:type="paragraph" w:styleId="List">
    <w:name w:val="List"/>
    <w:basedOn w:val="BodyText"/>
    <w:rsid w:val="00832132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rsid w:val="00832132"/>
    <w:pPr>
      <w:suppressLineNumbers/>
    </w:pPr>
    <w:rPr>
      <w:rFonts w:cs="Lucida Sans"/>
    </w:rPr>
  </w:style>
  <w:style w:type="paragraph" w:styleId="Ttulo3" w:customStyle="1">
    <w:name w:val="Título3"/>
    <w:basedOn w:val="Normal"/>
    <w:next w:val="BodyText"/>
    <w:qFormat/>
    <w:rsid w:val="00832132"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Caption1">
    <w:name w:val="caption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tulo2" w:customStyle="1">
    <w:name w:val="Título2"/>
    <w:basedOn w:val="Normal"/>
    <w:next w:val="BodyText"/>
    <w:qFormat/>
    <w:rsid w:val="00832132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tulo1" w:customStyle="1">
    <w:name w:val="Título1"/>
    <w:basedOn w:val="Normal"/>
    <w:next w:val="BodyText"/>
    <w:qFormat/>
    <w:rsid w:val="00832132"/>
    <w:pPr>
      <w:keepNext w:val="true"/>
      <w:spacing w:before="240" w:after="120"/>
    </w:pPr>
    <w:rPr>
      <w:rFonts w:ascii="Arial" w:hAnsi="Arial" w:eastAsia="Arial Unicode MS" w:cs="Lucida Sans"/>
      <w:sz w:val="28"/>
      <w:szCs w:val="28"/>
    </w:rPr>
  </w:style>
  <w:style w:type="paragraph" w:styleId="Legenda1" w:customStyle="1">
    <w:name w:val="Legenda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1"/>
    <w:rsid w:val="00832132"/>
    <w:pPr>
      <w:tabs>
        <w:tab w:val="clear" w:pos="720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Footer">
    <w:name w:val="Footer"/>
    <w:basedOn w:val="Normal"/>
    <w:link w:val="RodapChar1"/>
    <w:rsid w:val="00832132"/>
    <w:pPr>
      <w:tabs>
        <w:tab w:val="clear" w:pos="720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BalloonText">
    <w:name w:val="Balloon Text"/>
    <w:basedOn w:val="Normal"/>
    <w:link w:val="TextodebaloChar1"/>
    <w:qFormat/>
    <w:rsid w:val="00832132"/>
    <w:pPr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TextodenotaderodapChar"/>
    <w:rsid w:val="00832132"/>
    <w:pPr/>
    <w:rPr/>
  </w:style>
  <w:style w:type="paragraph" w:styleId="ListParagraph">
    <w:name w:val="List Paragraph"/>
    <w:basedOn w:val="Normal"/>
    <w:qFormat/>
    <w:rsid w:val="00832132"/>
    <w:pPr>
      <w:spacing w:lineRule="auto" w:line="276" w:before="0" w:after="200"/>
      <w:ind w:hanging="0" w:left="720"/>
    </w:pPr>
    <w:rPr>
      <w:rFonts w:ascii="Calibri" w:hAnsi="Calibri" w:eastAsia="Calibri" w:cs="Calibri"/>
      <w:sz w:val="22"/>
      <w:szCs w:val="22"/>
    </w:rPr>
  </w:style>
  <w:style w:type="paragraph" w:styleId="Default" w:customStyle="1">
    <w:name w:val="Default"/>
    <w:qFormat/>
    <w:rsid w:val="0083213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Corpodetexto31" w:customStyle="1">
    <w:name w:val="Corpo de texto 31"/>
    <w:basedOn w:val="Normal"/>
    <w:qFormat/>
    <w:rsid w:val="00832132"/>
    <w:pPr>
      <w:spacing w:before="0" w:after="120"/>
    </w:pPr>
    <w:rPr>
      <w:sz w:val="16"/>
      <w:szCs w:val="16"/>
    </w:rPr>
  </w:style>
  <w:style w:type="paragraph" w:styleId="Corpodetexto21" w:customStyle="1">
    <w:name w:val="Corpo de texto 21"/>
    <w:basedOn w:val="Normal"/>
    <w:qFormat/>
    <w:rsid w:val="00832132"/>
    <w:pPr>
      <w:spacing w:lineRule="auto" w:line="480" w:before="0" w:after="120"/>
    </w:pPr>
    <w:rPr/>
  </w:style>
  <w:style w:type="paragraph" w:styleId="Xl61" w:customStyle="1">
    <w:name w:val="xl61"/>
    <w:basedOn w:val="Default"/>
    <w:next w:val="Default"/>
    <w:qFormat/>
    <w:rsid w:val="00832132"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styleId="WW-Padro" w:customStyle="1">
    <w:name w:val="WW-Padrão"/>
    <w:basedOn w:val="Default"/>
    <w:next w:val="Default"/>
    <w:qFormat/>
    <w:rsid w:val="00832132"/>
    <w:pPr/>
    <w:rPr>
      <w:rFonts w:ascii="IPMDOI+TimesNewRoman" w:hAnsi="IPMDOI+TimesNewRoman" w:cs="IPMDOI+TimesNewRoman"/>
      <w:color w:val="auto"/>
    </w:rPr>
  </w:style>
  <w:style w:type="paragraph" w:styleId="Contedodetabela" w:customStyle="1">
    <w:name w:val="Conteúdo de tabela"/>
    <w:basedOn w:val="Normal"/>
    <w:qFormat/>
    <w:rsid w:val="00832132"/>
    <w:pPr>
      <w:suppressLineNumbers/>
    </w:pPr>
    <w:rPr/>
  </w:style>
  <w:style w:type="paragraph" w:styleId="Contedodatabela" w:customStyle="1">
    <w:name w:val="Conteúdo da tabela"/>
    <w:basedOn w:val="Normal"/>
    <w:qFormat/>
    <w:rsid w:val="00832132"/>
    <w:pPr>
      <w:suppressLineNumbers/>
    </w:pPr>
    <w:rPr/>
  </w:style>
  <w:style w:type="paragraph" w:styleId="Ttulodetabela" w:customStyle="1">
    <w:name w:val="Título de tabela"/>
    <w:basedOn w:val="Contedodetabela"/>
    <w:qFormat/>
    <w:rsid w:val="00832132"/>
    <w:pPr>
      <w:jc w:val="center"/>
    </w:pPr>
    <w:rPr>
      <w:b/>
      <w:bCs/>
    </w:rPr>
  </w:style>
  <w:style w:type="paragraph" w:styleId="Title">
    <w:name w:val="Title"/>
    <w:basedOn w:val="Normal"/>
    <w:next w:val="BodyText"/>
    <w:link w:val="TtuloChar1"/>
    <w:qFormat/>
    <w:rsid w:val="00832132"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Recuodecorpodetexto31" w:customStyle="1">
    <w:name w:val="Recuo de corpo de texto 31"/>
    <w:basedOn w:val="Normal"/>
    <w:qFormat/>
    <w:rsid w:val="00832132"/>
    <w:pPr>
      <w:suppressAutoHyphens w:val="false"/>
      <w:spacing w:before="0" w:after="120"/>
      <w:ind w:hanging="0" w:left="283"/>
    </w:pPr>
    <w:rPr>
      <w:sz w:val="16"/>
      <w:szCs w:val="16"/>
    </w:rPr>
  </w:style>
  <w:style w:type="paragraph" w:styleId="WW-Textosimples" w:customStyle="1">
    <w:name w:val="WW-Texto simples"/>
    <w:basedOn w:val="Normal"/>
    <w:qFormat/>
    <w:rsid w:val="00832132"/>
    <w:pPr/>
    <w:rPr>
      <w:rFonts w:ascii="Courier New" w:hAnsi="Courier New" w:cs="Courier New"/>
      <w:color w:val="00000A"/>
    </w:rPr>
  </w:style>
  <w:style w:type="paragraph" w:styleId="Normal0" w:customStyle="1">
    <w:name w:val="Normal_0"/>
    <w:qFormat/>
    <w:rsid w:val="00cb796f"/>
    <w:pPr>
      <w:widowControl/>
      <w:tabs>
        <w:tab w:val="clear" w:pos="720"/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</w:tabs>
      <w:suppressAutoHyphens w:val="tru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pt-BR" w:eastAsia="en-US" w:bidi="ar-SA"/>
    </w:rPr>
  </w:style>
  <w:style w:type="paragraph" w:styleId="Indentado0" w:customStyle="1">
    <w:name w:val="Indentado_0"/>
    <w:basedOn w:val="Normal0"/>
    <w:qFormat/>
    <w:rsid w:val="00cb796f"/>
    <w:pPr>
      <w:tabs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  <w:tab w:val="right" w:pos="9923" w:leader="none"/>
      </w:tabs>
      <w:ind w:firstLine="851" w:left="567"/>
    </w:pPr>
    <w:rPr/>
  </w:style>
  <w:style w:type="paragraph" w:styleId="Pa4" w:customStyle="1">
    <w:name w:val="Pa4"/>
    <w:basedOn w:val="Default"/>
    <w:next w:val="Default"/>
    <w:uiPriority w:val="99"/>
    <w:qFormat/>
    <w:rsid w:val="00f00ce1"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28" w:customStyle="1">
    <w:name w:val="Pa28"/>
    <w:basedOn w:val="Default"/>
    <w:next w:val="Default"/>
    <w:uiPriority w:val="99"/>
    <w:qFormat/>
    <w:rsid w:val="00f00ce1"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numbering" w:styleId="NoList" w:default="1">
    <w:name w:val="No List"/>
    <w:uiPriority w:val="99"/>
    <w:semiHidden/>
    <w:unhideWhenUsed/>
    <w:qFormat/>
  </w:style>
  <w:style w:type="numbering" w:styleId="WW8Num1">
    <w:name w:val="WW8Num1"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86841-9E1F-4916-B881-55A9B20F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1091</TotalTime>
  <Application>LibreOffice/7.6.7.2$Windows_X86_64 LibreOffice_project/dd47e4b30cb7dab30588d6c79c651f218165e3c5</Application>
  <AppVersion>15.0000</AppVersion>
  <Pages>5</Pages>
  <Words>2035</Words>
  <Characters>11222</Characters>
  <CharactersWithSpaces>13065</CharactersWithSpaces>
  <Paragraphs>203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2019-06-04T16:18:00Z</dcterms:created>
  <dc:creator>PMSGP</dc:creator>
  <dc:description/>
  <dc:language>pt-BR</dc:language>
  <cp:lastModifiedBy/>
  <cp:lastPrinted>2024-01-22T15:05:08Z</cp:lastPrinted>
  <dcterms:modified xsi:type="dcterms:W3CDTF">2024-08-29T14:13:54Z</dcterms:modified>
  <cp:revision>116</cp:revision>
  <dc:subject/>
  <dc:title>São Gabriel da Palha, em 05 de Março de 20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